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C95C6">
      <w:pPr>
        <w:pStyle w:val="3"/>
        <w:spacing w:line="360" w:lineRule="auto"/>
        <w:jc w:val="center"/>
        <w:rPr>
          <w:rFonts w:hint="eastAsia" w:ascii="宋体" w:hAnsi="宋体"/>
          <w:color w:val="auto"/>
        </w:rPr>
      </w:pPr>
      <w:bookmarkStart w:id="0" w:name="_Toc102300254"/>
      <w:bookmarkStart w:id="1" w:name="_Toc98175177"/>
      <w:bookmarkStart w:id="2" w:name="_Toc500229355"/>
    </w:p>
    <w:p w14:paraId="39895D47">
      <w:pPr>
        <w:pStyle w:val="3"/>
        <w:spacing w:line="360" w:lineRule="auto"/>
        <w:jc w:val="center"/>
        <w:rPr>
          <w:rFonts w:hint="eastAsia" w:ascii="宋体" w:hAnsi="宋体"/>
          <w:color w:val="auto"/>
        </w:rPr>
      </w:pPr>
    </w:p>
    <w:p w14:paraId="51E3D7CB">
      <w:pPr>
        <w:pStyle w:val="3"/>
        <w:spacing w:line="360" w:lineRule="auto"/>
        <w:jc w:val="center"/>
        <w:rPr>
          <w:rFonts w:hint="eastAsia" w:ascii="宋体" w:hAnsi="宋体"/>
          <w:color w:val="auto"/>
        </w:rPr>
      </w:pPr>
      <w:r>
        <w:rPr>
          <w:rFonts w:hint="eastAsia" w:ascii="宋体" w:hAnsi="宋体"/>
          <w:color w:val="auto"/>
        </w:rPr>
        <w:t xml:space="preserve">第二章 </w:t>
      </w:r>
      <w:bookmarkStart w:id="3" w:name="_Hlt98173553"/>
      <w:bookmarkEnd w:id="3"/>
      <w:r>
        <w:rPr>
          <w:rFonts w:hint="eastAsia" w:ascii="宋体" w:hAnsi="宋体"/>
          <w:color w:val="auto"/>
        </w:rPr>
        <w:t xml:space="preserve"> </w:t>
      </w:r>
      <w:bookmarkEnd w:id="0"/>
      <w:bookmarkEnd w:id="1"/>
      <w:r>
        <w:rPr>
          <w:rFonts w:hint="eastAsia" w:ascii="宋体" w:hAnsi="宋体"/>
          <w:color w:val="auto"/>
        </w:rPr>
        <w:t>用户需求书</w:t>
      </w:r>
      <w:bookmarkEnd w:id="2"/>
    </w:p>
    <w:p w14:paraId="1C884B98">
      <w:pPr>
        <w:spacing w:line="560" w:lineRule="exact"/>
        <w:jc w:val="left"/>
        <w:rPr>
          <w:rFonts w:hint="eastAsia" w:ascii="宋体" w:hAnsi="宋体" w:cs="Calibri"/>
          <w:b/>
          <w:color w:val="auto"/>
          <w:sz w:val="24"/>
          <w:szCs w:val="24"/>
        </w:rPr>
      </w:pPr>
      <w:r>
        <w:rPr>
          <w:rFonts w:ascii="宋体" w:hAnsi="宋体" w:cs="Calibri"/>
          <w:b/>
          <w:color w:val="auto"/>
          <w:sz w:val="24"/>
          <w:szCs w:val="24"/>
        </w:rPr>
        <w:t xml:space="preserve"> </w:t>
      </w:r>
    </w:p>
    <w:p w14:paraId="2C3AAD20">
      <w:pPr>
        <w:pStyle w:val="7"/>
        <w:rPr>
          <w:rFonts w:hint="eastAsia"/>
          <w:color w:val="auto"/>
        </w:rPr>
      </w:pPr>
    </w:p>
    <w:p w14:paraId="0FBB89AE">
      <w:pPr>
        <w:pStyle w:val="7"/>
        <w:rPr>
          <w:rFonts w:hint="eastAsia"/>
          <w:color w:val="auto"/>
        </w:rPr>
      </w:pPr>
    </w:p>
    <w:p w14:paraId="0338F44C">
      <w:pPr>
        <w:pStyle w:val="7"/>
        <w:rPr>
          <w:rFonts w:hint="eastAsia"/>
          <w:color w:val="auto"/>
        </w:rPr>
      </w:pPr>
    </w:p>
    <w:p w14:paraId="0E5F46FF">
      <w:pPr>
        <w:pStyle w:val="7"/>
        <w:rPr>
          <w:rFonts w:hint="eastAsia"/>
          <w:color w:val="auto"/>
        </w:rPr>
      </w:pPr>
    </w:p>
    <w:p w14:paraId="5564917B">
      <w:pPr>
        <w:pStyle w:val="7"/>
        <w:rPr>
          <w:rFonts w:hint="eastAsia"/>
          <w:color w:val="auto"/>
        </w:rPr>
      </w:pPr>
    </w:p>
    <w:p w14:paraId="06869515">
      <w:pPr>
        <w:pStyle w:val="7"/>
        <w:rPr>
          <w:rFonts w:hint="eastAsia"/>
          <w:color w:val="auto"/>
        </w:rPr>
      </w:pPr>
    </w:p>
    <w:p w14:paraId="348A0291">
      <w:pPr>
        <w:pStyle w:val="7"/>
        <w:rPr>
          <w:rFonts w:hint="eastAsia"/>
          <w:color w:val="auto"/>
        </w:rPr>
      </w:pPr>
    </w:p>
    <w:p w14:paraId="54B814CC">
      <w:pPr>
        <w:pStyle w:val="7"/>
        <w:rPr>
          <w:rFonts w:hint="eastAsia"/>
          <w:color w:val="auto"/>
        </w:rPr>
      </w:pPr>
    </w:p>
    <w:p w14:paraId="267E45CA">
      <w:pPr>
        <w:pStyle w:val="7"/>
        <w:rPr>
          <w:rFonts w:hint="eastAsia"/>
          <w:color w:val="auto"/>
        </w:rPr>
      </w:pPr>
    </w:p>
    <w:p w14:paraId="551F8F3B">
      <w:pPr>
        <w:pStyle w:val="7"/>
        <w:rPr>
          <w:rFonts w:hint="eastAsia"/>
          <w:color w:val="auto"/>
        </w:rPr>
      </w:pPr>
    </w:p>
    <w:p w14:paraId="46CA4CC8">
      <w:pPr>
        <w:pStyle w:val="7"/>
        <w:rPr>
          <w:rFonts w:hint="eastAsia"/>
          <w:color w:val="auto"/>
        </w:rPr>
      </w:pPr>
    </w:p>
    <w:p w14:paraId="6C5A1CD2">
      <w:pPr>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有关说明：打“★”号条款为实质性条款，若有任何一条负偏离或不满足则导致投标无效。 </w:t>
      </w:r>
    </w:p>
    <w:p w14:paraId="1EF06C26">
      <w:pPr>
        <w:jc w:val="left"/>
        <w:rPr>
          <w:rFonts w:hint="eastAsia" w:ascii="宋体" w:hAnsi="宋体" w:cs="宋体"/>
          <w:b w:val="0"/>
          <w:bCs w:val="0"/>
          <w:color w:val="auto"/>
          <w:sz w:val="24"/>
          <w:szCs w:val="24"/>
          <w:lang w:eastAsia="zh-CN"/>
        </w:rPr>
      </w:pPr>
      <w:r>
        <w:rPr>
          <w:rFonts w:hint="eastAsia" w:ascii="宋体" w:hAnsi="宋体" w:cs="宋体"/>
          <w:b/>
          <w:bCs/>
          <w:color w:val="auto"/>
          <w:sz w:val="24"/>
          <w:szCs w:val="24"/>
          <w:lang w:val="en-US" w:eastAsia="zh-CN"/>
        </w:rPr>
        <w:t>打“▲”号条款为重要技术参数，若有部分“▲”条款未响应或不满足，将导致其响应性评审加重扣分，但不作为无效投标条款</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eastAsia="zh-CN"/>
        </w:rPr>
        <w:br w:type="textWrapping"/>
      </w:r>
    </w:p>
    <w:p w14:paraId="3D95937F">
      <w:pPr>
        <w:pStyle w:val="9"/>
        <w:rPr>
          <w:rFonts w:hint="eastAsia" w:ascii="宋体" w:hAnsi="宋体" w:cs="宋体"/>
          <w:b w:val="0"/>
          <w:bCs w:val="0"/>
          <w:color w:val="auto"/>
          <w:sz w:val="24"/>
          <w:szCs w:val="24"/>
          <w:lang w:eastAsia="zh-CN"/>
        </w:rPr>
      </w:pPr>
    </w:p>
    <w:p w14:paraId="52A79B20">
      <w:pPr>
        <w:pStyle w:val="9"/>
        <w:rPr>
          <w:rFonts w:hint="eastAsia" w:ascii="宋体" w:hAnsi="宋体" w:cs="宋体"/>
          <w:b w:val="0"/>
          <w:bCs w:val="0"/>
          <w:color w:val="auto"/>
          <w:sz w:val="24"/>
          <w:szCs w:val="24"/>
          <w:lang w:eastAsia="zh-CN"/>
        </w:rPr>
      </w:pPr>
    </w:p>
    <w:p w14:paraId="56A28F3A">
      <w:pPr>
        <w:pStyle w:val="9"/>
        <w:rPr>
          <w:rFonts w:hint="eastAsia" w:ascii="宋体" w:hAnsi="宋体" w:cs="宋体"/>
          <w:b w:val="0"/>
          <w:bCs w:val="0"/>
          <w:color w:val="auto"/>
          <w:sz w:val="24"/>
          <w:szCs w:val="24"/>
          <w:lang w:eastAsia="zh-CN"/>
        </w:rPr>
      </w:pPr>
    </w:p>
    <w:p w14:paraId="70BC8A07">
      <w:pPr>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lang w:eastAsia="zh-CN"/>
        </w:rPr>
        <w:t>汕头大学医学院第一附属医院动态血压分析系统项目</w:t>
      </w:r>
    </w:p>
    <w:p w14:paraId="0BA47553">
      <w:pPr>
        <w:pStyle w:val="9"/>
        <w:ind w:firstLine="422"/>
        <w:rPr>
          <w:rFonts w:hint="eastAsia"/>
          <w:color w:val="auto"/>
        </w:rPr>
      </w:pPr>
    </w:p>
    <w:p w14:paraId="10D3422A">
      <w:pPr>
        <w:pStyle w:val="7"/>
        <w:jc w:val="center"/>
        <w:rPr>
          <w:rFonts w:hint="eastAsia" w:hAnsi="宋体" w:cs="宋体"/>
          <w:b/>
          <w:bCs/>
          <w:color w:val="auto"/>
          <w:sz w:val="32"/>
          <w:szCs w:val="32"/>
        </w:rPr>
      </w:pPr>
      <w:r>
        <w:rPr>
          <w:rFonts w:hint="eastAsia" w:hAnsi="宋体" w:cs="宋体"/>
          <w:b/>
          <w:bCs/>
          <w:color w:val="auto"/>
          <w:sz w:val="32"/>
          <w:szCs w:val="32"/>
        </w:rPr>
        <w:t>用户需求书</w:t>
      </w:r>
      <w:r>
        <w:rPr>
          <w:rFonts w:hint="eastAsia" w:hAnsi="宋体" w:cs="宋体"/>
          <w:b/>
          <w:bCs/>
          <w:color w:val="auto"/>
          <w:sz w:val="32"/>
          <w:szCs w:val="32"/>
        </w:rPr>
        <w:br w:type="textWrapping"/>
      </w:r>
      <w:bookmarkStart w:id="5" w:name="_GoBack"/>
      <w:bookmarkEnd w:id="5"/>
    </w:p>
    <w:p w14:paraId="2536AD78">
      <w:pPr>
        <w:pStyle w:val="3"/>
        <w:spacing w:before="0" w:after="0" w:line="360" w:lineRule="auto"/>
        <w:rPr>
          <w:rFonts w:hint="eastAsia" w:ascii="宋体" w:hAnsi="宋体" w:cs="宋体"/>
          <w:color w:val="auto"/>
          <w:sz w:val="21"/>
          <w:szCs w:val="21"/>
        </w:rPr>
      </w:pPr>
      <w:r>
        <w:rPr>
          <w:rFonts w:hint="eastAsia" w:ascii="宋体" w:hAnsi="宋体" w:cs="宋体"/>
          <w:color w:val="auto"/>
          <w:sz w:val="21"/>
          <w:szCs w:val="21"/>
        </w:rPr>
        <w:t>一、项目概况内容</w:t>
      </w:r>
    </w:p>
    <w:p w14:paraId="1B30152F">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采购项目名称：</w:t>
      </w:r>
      <w:r>
        <w:rPr>
          <w:rFonts w:hint="eastAsia" w:ascii="宋体" w:hAnsi="宋体" w:cs="宋体"/>
          <w:szCs w:val="21"/>
          <w:lang w:eastAsia="zh-CN"/>
        </w:rPr>
        <w:t>汕头大学医学院第一附属医院动态血压分析系统项目</w:t>
      </w:r>
      <w:r>
        <w:rPr>
          <w:rFonts w:hint="eastAsia" w:ascii="宋体" w:hAnsi="宋体" w:cs="宋体"/>
          <w:szCs w:val="21"/>
        </w:rPr>
        <w:t xml:space="preserve">                  </w:t>
      </w:r>
    </w:p>
    <w:p w14:paraId="174854C5">
      <w:pPr>
        <w:spacing w:line="36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采购预算/最高限价：</w:t>
      </w:r>
      <w:r>
        <w:rPr>
          <w:rFonts w:hint="eastAsia" w:ascii="宋体" w:hAnsi="宋体" w:cs="宋体"/>
          <w:szCs w:val="21"/>
          <w:lang w:val="en-US" w:eastAsia="zh-CN"/>
        </w:rPr>
        <w:t>400000.00</w:t>
      </w:r>
      <w:r>
        <w:rPr>
          <w:rFonts w:hint="eastAsia" w:ascii="宋体" w:hAnsi="宋体" w:cs="宋体"/>
          <w:szCs w:val="21"/>
        </w:rPr>
        <w:t>元</w:t>
      </w:r>
    </w:p>
    <w:p w14:paraId="531302A8">
      <w:pPr>
        <w:pStyle w:val="14"/>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3.详细技术规范以用户需求书为准。投标人必须对本项目的全部内容进行投标报价，如有缺漏或超出最高采购限价，将导致投标无效。</w:t>
      </w:r>
    </w:p>
    <w:p w14:paraId="4A21334C">
      <w:pPr>
        <w:pStyle w:val="14"/>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4.本项目采购本国产品。</w:t>
      </w:r>
    </w:p>
    <w:p w14:paraId="594442A4">
      <w:pPr>
        <w:pStyle w:val="14"/>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5.交货时间：合同签订后接到采购人通知30个工作日内安装调试完毕交付使用。</w:t>
      </w:r>
    </w:p>
    <w:p w14:paraId="31EF3D4D">
      <w:pPr>
        <w:pStyle w:val="14"/>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6．交货地点：采购人指定地点</w:t>
      </w:r>
    </w:p>
    <w:p w14:paraId="644EB9DB">
      <w:pPr>
        <w:pStyle w:val="14"/>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7. 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w:t>
      </w:r>
      <w:r>
        <w:rPr>
          <w:rFonts w:hint="eastAsia" w:ascii="宋体" w:hAnsi="宋体" w:eastAsia="宋体" w:cs="宋体"/>
          <w:color w:val="auto"/>
          <w:sz w:val="21"/>
          <w:szCs w:val="21"/>
          <w:lang w:val="en-US" w:eastAsia="zh-CN"/>
        </w:rPr>
        <w:t>关于调整优化节能产品、环境标志产品政府采购执行机制的通知》（财库〔2019〕9号）等。</w:t>
      </w:r>
    </w:p>
    <w:p w14:paraId="534F084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lang w:val="en-US" w:eastAsia="zh-CN"/>
        </w:rPr>
        <w:t>8. 投标人提供《中小企业声明函》内容不实的，属于“隐瞒真实情况，提供虚假资料的”情形，依照《中华人民共和国政府采购法》及其实施条例等有关法律法规规定追究相应责任</w:t>
      </w:r>
      <w:r>
        <w:rPr>
          <w:rFonts w:hint="eastAsia" w:ascii="宋体" w:hAnsi="宋体" w:cs="宋体"/>
          <w:b/>
          <w:bCs/>
          <w:color w:val="auto"/>
          <w:szCs w:val="21"/>
          <w:highlight w:val="none"/>
          <w:lang w:val="en-US" w:eastAsia="zh-CN"/>
        </w:rPr>
        <w:t>。</w:t>
      </w:r>
    </w:p>
    <w:p w14:paraId="29DCBF42">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kern w:val="0"/>
          <w:sz w:val="21"/>
          <w:szCs w:val="21"/>
          <w:highlight w:val="none"/>
          <w:lang w:val="en-US" w:eastAsia="zh-CN"/>
        </w:rPr>
        <w:t>9.</w:t>
      </w:r>
      <w:r>
        <w:rPr>
          <w:rFonts w:hint="eastAsia" w:ascii="宋体" w:hAnsi="宋体" w:eastAsia="宋体" w:cs="宋体"/>
          <w:bCs w:val="0"/>
          <w:color w:val="auto"/>
          <w:kern w:val="0"/>
          <w:sz w:val="21"/>
          <w:szCs w:val="21"/>
          <w:highlight w:val="none"/>
        </w:rPr>
        <w:t>不允许中标人</w:t>
      </w:r>
      <w:r>
        <w:rPr>
          <w:rFonts w:hint="eastAsia" w:ascii="宋体" w:hAnsi="宋体" w:eastAsia="宋体" w:cs="宋体"/>
          <w:color w:val="auto"/>
          <w:kern w:val="0"/>
          <w:sz w:val="21"/>
          <w:szCs w:val="21"/>
          <w:highlight w:val="none"/>
        </w:rPr>
        <w:t>转包、分包项目内容</w:t>
      </w:r>
      <w:r>
        <w:rPr>
          <w:rFonts w:hint="eastAsia" w:ascii="宋体" w:hAnsi="宋体" w:eastAsia="宋体" w:cs="宋体"/>
          <w:color w:val="auto"/>
          <w:sz w:val="21"/>
          <w:szCs w:val="21"/>
          <w:highlight w:val="none"/>
        </w:rPr>
        <w:t>。</w:t>
      </w:r>
    </w:p>
    <w:p w14:paraId="09BED42E">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产品应具备医疗器械注册证（无强制要求的除外，以国家药品监督管理局网上的数据库中查询的数据为准）。投标人若为投标产品生产厂家应具备《医疗器械生产许可证》；投标人若为经销商应具备所投产品对应的管理资质，医疗器械经营备案凭证或医疗器械经营许可证。</w:t>
      </w:r>
    </w:p>
    <w:p w14:paraId="4971DA79">
      <w:pPr>
        <w:pStyle w:val="14"/>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11.本项目不允许采购进口产品</w:t>
      </w:r>
      <w:r>
        <w:rPr>
          <w:rFonts w:hint="eastAsia" w:ascii="宋体" w:hAnsi="宋体" w:eastAsia="宋体" w:cs="宋体"/>
          <w:color w:val="auto"/>
          <w:sz w:val="21"/>
          <w:szCs w:val="21"/>
          <w:lang w:eastAsia="zh-CN"/>
        </w:rPr>
        <w:t>。</w:t>
      </w:r>
    </w:p>
    <w:p w14:paraId="4401D490">
      <w:pPr>
        <w:pStyle w:val="14"/>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12.本项目设备保修期</w:t>
      </w:r>
      <w:r>
        <w:rPr>
          <w:rFonts w:hint="eastAsia" w:ascii="宋体" w:hAnsi="宋体" w:eastAsia="宋体" w:cs="宋体"/>
          <w:bCs/>
          <w:iCs/>
          <w:sz w:val="21"/>
          <w:szCs w:val="21"/>
        </w:rPr>
        <w:t>≥3年</w:t>
      </w:r>
      <w:r>
        <w:rPr>
          <w:rFonts w:hint="eastAsia" w:ascii="宋体" w:hAnsi="宋体" w:eastAsia="宋体" w:cs="宋体"/>
          <w:color w:val="auto"/>
          <w:sz w:val="21"/>
          <w:szCs w:val="21"/>
          <w:lang w:eastAsia="zh-CN"/>
        </w:rPr>
        <w:t>。</w:t>
      </w:r>
    </w:p>
    <w:p w14:paraId="26203FB7">
      <w:pPr>
        <w:pStyle w:val="14"/>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13.项目明细</w:t>
      </w:r>
    </w:p>
    <w:tbl>
      <w:tblPr>
        <w:tblStyle w:val="11"/>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97"/>
        <w:gridCol w:w="2656"/>
        <w:gridCol w:w="1625"/>
        <w:gridCol w:w="1344"/>
      </w:tblGrid>
      <w:tr w14:paraId="18B5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14:paraId="35FE67F9">
            <w:pPr>
              <w:pStyle w:val="14"/>
              <w:pageBreakBefore w:val="0"/>
              <w:kinsoku/>
              <w:wordWrap/>
              <w:overflowPunct/>
              <w:topLinePunct w:val="0"/>
              <w:autoSpaceDE/>
              <w:autoSpaceDN/>
              <w:bidi w:val="0"/>
              <w:spacing w:after="0" w:line="480" w:lineRule="auto"/>
              <w:ind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设备名称</w:t>
            </w:r>
          </w:p>
        </w:tc>
        <w:tc>
          <w:tcPr>
            <w:tcW w:w="2197" w:type="dxa"/>
            <w:noWrap w:val="0"/>
            <w:vAlign w:val="center"/>
          </w:tcPr>
          <w:p w14:paraId="263AD016">
            <w:pPr>
              <w:pStyle w:val="14"/>
              <w:pageBreakBefore w:val="0"/>
              <w:kinsoku/>
              <w:wordWrap/>
              <w:overflowPunct/>
              <w:topLinePunct w:val="0"/>
              <w:autoSpaceDE/>
              <w:autoSpaceDN/>
              <w:bidi w:val="0"/>
              <w:spacing w:after="0" w:line="480" w:lineRule="auto"/>
              <w:ind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数量</w:t>
            </w:r>
          </w:p>
        </w:tc>
        <w:tc>
          <w:tcPr>
            <w:tcW w:w="2656" w:type="dxa"/>
            <w:noWrap w:val="0"/>
            <w:vAlign w:val="center"/>
          </w:tcPr>
          <w:p w14:paraId="3EBB2703">
            <w:pPr>
              <w:pStyle w:val="14"/>
              <w:pageBreakBefore w:val="0"/>
              <w:kinsoku/>
              <w:wordWrap/>
              <w:overflowPunct/>
              <w:topLinePunct w:val="0"/>
              <w:autoSpaceDE/>
              <w:autoSpaceDN/>
              <w:bidi w:val="0"/>
              <w:spacing w:after="0" w:line="480" w:lineRule="auto"/>
              <w:ind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设备预算单价（单位：万元）</w:t>
            </w:r>
          </w:p>
        </w:tc>
        <w:tc>
          <w:tcPr>
            <w:tcW w:w="1625" w:type="dxa"/>
            <w:noWrap w:val="0"/>
            <w:vAlign w:val="center"/>
          </w:tcPr>
          <w:p w14:paraId="41B2935F">
            <w:pPr>
              <w:pStyle w:val="14"/>
              <w:pageBreakBefore w:val="0"/>
              <w:kinsoku/>
              <w:wordWrap/>
              <w:overflowPunct/>
              <w:topLinePunct w:val="0"/>
              <w:autoSpaceDE/>
              <w:autoSpaceDN/>
              <w:bidi w:val="0"/>
              <w:spacing w:after="0" w:line="480" w:lineRule="auto"/>
              <w:ind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是否允许进口产品</w:t>
            </w:r>
          </w:p>
        </w:tc>
        <w:tc>
          <w:tcPr>
            <w:tcW w:w="1344" w:type="dxa"/>
            <w:noWrap w:val="0"/>
            <w:vAlign w:val="center"/>
          </w:tcPr>
          <w:p w14:paraId="0BE8731A">
            <w:pPr>
              <w:spacing w:line="48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val="0"/>
                <w:color w:val="auto"/>
                <w:kern w:val="0"/>
                <w:sz w:val="21"/>
                <w:szCs w:val="21"/>
              </w:rPr>
              <w:t>采购标的所属行业</w:t>
            </w:r>
          </w:p>
        </w:tc>
      </w:tr>
      <w:tr w14:paraId="467F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14:paraId="44BE38C2">
            <w:pPr>
              <w:pStyle w:val="14"/>
              <w:pageBreakBefore w:val="0"/>
              <w:kinsoku/>
              <w:wordWrap/>
              <w:overflowPunct/>
              <w:topLinePunct w:val="0"/>
              <w:autoSpaceDE/>
              <w:autoSpaceDN/>
              <w:bidi w:val="0"/>
              <w:spacing w:after="0" w:line="480" w:lineRule="auto"/>
              <w:ind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动态血压分析系统</w:t>
            </w:r>
            <w:r>
              <w:rPr>
                <w:rFonts w:hint="eastAsia" w:ascii="宋体" w:hAnsi="宋体" w:eastAsia="宋体" w:cs="宋体"/>
                <w:i w:val="0"/>
                <w:iCs w:val="0"/>
                <w:caps w:val="0"/>
                <w:color w:val="333333"/>
                <w:spacing w:val="0"/>
                <w:sz w:val="21"/>
                <w:szCs w:val="21"/>
                <w:shd w:val="clear" w:color="auto" w:fill="FFFFFF"/>
              </w:rPr>
              <w:t>（包括20台动态血压监测仪及10套动态血压分析软件）</w:t>
            </w:r>
          </w:p>
        </w:tc>
        <w:tc>
          <w:tcPr>
            <w:tcW w:w="2197" w:type="dxa"/>
            <w:noWrap w:val="0"/>
            <w:vAlign w:val="center"/>
          </w:tcPr>
          <w:p w14:paraId="7E30AEB7">
            <w:pPr>
              <w:pStyle w:val="14"/>
              <w:pageBreakBefore w:val="0"/>
              <w:kinsoku/>
              <w:wordWrap/>
              <w:overflowPunct/>
              <w:topLinePunct w:val="0"/>
              <w:autoSpaceDE/>
              <w:autoSpaceDN/>
              <w:bidi w:val="0"/>
              <w:spacing w:after="0" w:line="480" w:lineRule="auto"/>
              <w:ind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1套</w:t>
            </w:r>
          </w:p>
        </w:tc>
        <w:tc>
          <w:tcPr>
            <w:tcW w:w="2656" w:type="dxa"/>
            <w:noWrap w:val="0"/>
            <w:vAlign w:val="center"/>
          </w:tcPr>
          <w:p w14:paraId="72B1A914">
            <w:pPr>
              <w:pStyle w:val="14"/>
              <w:pageBreakBefore w:val="0"/>
              <w:kinsoku/>
              <w:wordWrap/>
              <w:overflowPunct/>
              <w:topLinePunct w:val="0"/>
              <w:autoSpaceDE/>
              <w:autoSpaceDN/>
              <w:bidi w:val="0"/>
              <w:spacing w:after="0" w:line="480" w:lineRule="auto"/>
              <w:ind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40.00万元</w:t>
            </w:r>
          </w:p>
        </w:tc>
        <w:tc>
          <w:tcPr>
            <w:tcW w:w="1625" w:type="dxa"/>
            <w:noWrap w:val="0"/>
            <w:vAlign w:val="center"/>
          </w:tcPr>
          <w:p w14:paraId="54A42B57">
            <w:pPr>
              <w:pStyle w:val="14"/>
              <w:pageBreakBefore w:val="0"/>
              <w:kinsoku/>
              <w:wordWrap/>
              <w:overflowPunct/>
              <w:topLinePunct w:val="0"/>
              <w:autoSpaceDE/>
              <w:autoSpaceDN/>
              <w:bidi w:val="0"/>
              <w:spacing w:after="0" w:line="480" w:lineRule="auto"/>
              <w:ind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不允许</w:t>
            </w:r>
          </w:p>
        </w:tc>
        <w:tc>
          <w:tcPr>
            <w:tcW w:w="1344" w:type="dxa"/>
            <w:noWrap w:val="0"/>
            <w:vAlign w:val="center"/>
          </w:tcPr>
          <w:p w14:paraId="2FE21D17">
            <w:pPr>
              <w:spacing w:line="48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r>
    </w:tbl>
    <w:p w14:paraId="5A311077">
      <w:pPr>
        <w:spacing w:line="360" w:lineRule="auto"/>
        <w:rPr>
          <w:rFonts w:hint="eastAsia" w:ascii="宋体" w:hAnsi="宋体" w:cs="宋体"/>
          <w:color w:val="auto"/>
          <w:szCs w:val="21"/>
        </w:rPr>
      </w:pPr>
      <w:r>
        <w:rPr>
          <w:rFonts w:hint="eastAsia" w:ascii="宋体" w:hAnsi="宋体" w:cs="宋体"/>
          <w:color w:val="auto"/>
          <w:szCs w:val="21"/>
        </w:rPr>
        <w:t xml:space="preserve">      </w:t>
      </w:r>
    </w:p>
    <w:p w14:paraId="0CDB77B3">
      <w:pPr>
        <w:snapToGrid w:val="0"/>
        <w:spacing w:line="360" w:lineRule="auto"/>
        <w:ind w:firstLine="140" w:firstLineChars="67"/>
        <w:jc w:val="left"/>
        <w:rPr>
          <w:rFonts w:hint="eastAsia" w:ascii="宋体" w:hAnsi="宋体" w:eastAsia="宋体" w:cs="宋体"/>
          <w:color w:val="auto"/>
          <w:szCs w:val="21"/>
          <w:shd w:val="clear" w:color="auto" w:fill="FFFFFF"/>
          <w:lang w:eastAsia="zh-CN"/>
        </w:rPr>
      </w:pPr>
      <w:r>
        <w:rPr>
          <w:rFonts w:hint="eastAsia" w:ascii="宋体" w:hAnsi="宋体" w:cs="宋体"/>
          <w:color w:val="auto"/>
          <w:szCs w:val="21"/>
          <w:shd w:val="clear" w:color="auto" w:fill="FFFFFF"/>
        </w:rPr>
        <w:t>二、需求参数</w:t>
      </w:r>
    </w:p>
    <w:tbl>
      <w:tblPr>
        <w:tblStyle w:val="10"/>
        <w:tblW w:w="54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49"/>
        <w:gridCol w:w="1501"/>
        <w:gridCol w:w="6255"/>
      </w:tblGrid>
      <w:tr w14:paraId="072A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noWrap w:val="0"/>
            <w:vAlign w:val="center"/>
          </w:tcPr>
          <w:p w14:paraId="23AAF2D4">
            <w:pPr>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设备名称</w:t>
            </w:r>
          </w:p>
        </w:tc>
        <w:tc>
          <w:tcPr>
            <w:tcW w:w="428" w:type="pct"/>
            <w:tcBorders>
              <w:bottom w:val="single" w:color="auto" w:sz="4" w:space="0"/>
            </w:tcBorders>
            <w:noWrap w:val="0"/>
            <w:vAlign w:val="center"/>
          </w:tcPr>
          <w:p w14:paraId="79DB5D66">
            <w:pPr>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数量（套）</w:t>
            </w:r>
          </w:p>
        </w:tc>
        <w:tc>
          <w:tcPr>
            <w:tcW w:w="830" w:type="pct"/>
            <w:noWrap w:val="0"/>
            <w:vAlign w:val="center"/>
          </w:tcPr>
          <w:p w14:paraId="41EE3443">
            <w:pPr>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设备预算单价（单位：万元）</w:t>
            </w:r>
          </w:p>
        </w:tc>
        <w:tc>
          <w:tcPr>
            <w:tcW w:w="3394" w:type="pct"/>
            <w:noWrap w:val="0"/>
            <w:vAlign w:val="center"/>
          </w:tcPr>
          <w:p w14:paraId="47A2A5DE">
            <w:pPr>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技术参数</w:t>
            </w:r>
          </w:p>
        </w:tc>
      </w:tr>
      <w:tr w14:paraId="7379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47" w:type="pct"/>
            <w:noWrap w:val="0"/>
            <w:vAlign w:val="center"/>
          </w:tcPr>
          <w:p w14:paraId="5C9F455D">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动态血压分析系统</w:t>
            </w:r>
            <w:r>
              <w:rPr>
                <w:rFonts w:hint="eastAsia" w:ascii="宋体" w:hAnsi="宋体" w:eastAsia="宋体" w:cs="宋体"/>
                <w:i w:val="0"/>
                <w:iCs w:val="0"/>
                <w:caps w:val="0"/>
                <w:spacing w:val="0"/>
                <w:kern w:val="0"/>
                <w:sz w:val="21"/>
                <w:szCs w:val="21"/>
                <w:shd w:val="clear" w:color="auto" w:fill="auto"/>
              </w:rPr>
              <w:t>（包括20台动态血压监测仪及10套动态血压分析软件）</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0269FCBC">
            <w:pPr>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830" w:type="pct"/>
            <w:noWrap w:val="0"/>
            <w:vAlign w:val="center"/>
          </w:tcPr>
          <w:p w14:paraId="66C923D2">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40.00</w:t>
            </w:r>
          </w:p>
        </w:tc>
        <w:tc>
          <w:tcPr>
            <w:tcW w:w="3394" w:type="pct"/>
            <w:noWrap w:val="0"/>
            <w:vAlign w:val="center"/>
          </w:tcPr>
          <w:p w14:paraId="0D982DCD">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动态血压分析系统主要功能及技术参数</w:t>
            </w:r>
          </w:p>
          <w:p w14:paraId="44C4F78A">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1.动态血压监测仪</w:t>
            </w:r>
          </w:p>
          <w:p w14:paraId="7DBA7CBB">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1.1.支持长达24小时以上的长时间记录</w:t>
            </w:r>
          </w:p>
          <w:p w14:paraId="52930CB4">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1.2.多种记录时间间隔可供选择</w:t>
            </w:r>
          </w:p>
          <w:p w14:paraId="7715DB14">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1.3.测量方法：逐步释压震荡测量法等</w:t>
            </w:r>
          </w:p>
          <w:p w14:paraId="6819EBD5">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1.4.加压释压方式：自动加压、自动排气等</w:t>
            </w:r>
          </w:p>
          <w:p w14:paraId="12376396">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1.5.▲支持过压保护，当袖带内压力大于40kPa（300mmHg）时，袖带能够自动释压</w:t>
            </w:r>
          </w:p>
          <w:p w14:paraId="0B486297">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1.6.▲支持释压保护：袖带加压过程中取掉电池，袖带能够自动释压</w:t>
            </w:r>
          </w:p>
          <w:p w14:paraId="5F3E374E">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1.7.支持掉电数据保护：记录过程中取掉电池，不会丢失已经记录的数据</w:t>
            </w:r>
          </w:p>
          <w:p w14:paraId="727BFBCA">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1.8.袖带气密性，1分钟内压力下降值不大于0.5kPa(4mmHg)</w:t>
            </w:r>
          </w:p>
          <w:p w14:paraId="561881A4">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1.9.▲高精度血压测量：5.3kPa~38.7kPa(40mmHg~290mmHg)，误差不大于±0.4kPa(±3mmHg)</w:t>
            </w:r>
          </w:p>
          <w:p w14:paraId="7950695E">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1.10.▲精确的心率测量功能：40次/分~200次/分，误差不大于±5%</w:t>
            </w:r>
          </w:p>
          <w:p w14:paraId="095F7AB1">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1.11.支持自动重测功能，对错误数据可进行自动重测</w:t>
            </w:r>
          </w:p>
          <w:p w14:paraId="00DE32BF">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1.12.彩色液晶屏显示，可显示收缩压、舒张压、脉搏、体位、运动状态等信息及工作状态信息</w:t>
            </w:r>
          </w:p>
          <w:p w14:paraId="014BFBB3">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1.13.电源2节5号电池</w:t>
            </w:r>
          </w:p>
          <w:p w14:paraId="0D0955C5">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1.14.储存介质，非易失性闪光存储器</w:t>
            </w:r>
          </w:p>
          <w:p w14:paraId="3DB7FAEF">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1.15.具备实时时钟功能，能够显示当前时间</w:t>
            </w:r>
          </w:p>
          <w:p w14:paraId="5EDBECE9">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1.16.▲能够根据患者体位状态以及运动强度测定动态血压,可选配体位/运动状态信息显示</w:t>
            </w:r>
          </w:p>
          <w:p w14:paraId="1BF18D8A">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1.17.▲可监测房颤病人血压数据（提供证明材料）</w:t>
            </w:r>
          </w:p>
          <w:p w14:paraId="76C2D130">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1.18.▲可监测高度房室传导阻滞病人血压数据（提供证明材料）</w:t>
            </w:r>
          </w:p>
          <w:p w14:paraId="660358D2">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1.19.▲采用模糊时间测量法，最大程度降低某些病人的白大衣综合征，使数据更加准确可靠</w:t>
            </w:r>
          </w:p>
          <w:p w14:paraId="11DF6695">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1.20.▲血压数据可读至HOLTER软件内，实现动态血压、动态心电数据二合一报告</w:t>
            </w:r>
          </w:p>
          <w:p w14:paraId="33F964DB">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2.动态血压分析软件</w:t>
            </w:r>
          </w:p>
          <w:p w14:paraId="6ECC2968">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2.1.动态血压数据分析、审核、回传等</w:t>
            </w:r>
          </w:p>
          <w:p w14:paraId="7BED6DF7">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2.2. 24小时动态血压数据编辑及统计功能，数据可回放至动态心电系统，对24小时动态血压数据及心电图数据同步分析显示</w:t>
            </w:r>
          </w:p>
          <w:p w14:paraId="211029D9">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2.3.支持比较分析功能，可对同一患者进行多次测量，进行不同数据间的比较分析</w:t>
            </w:r>
          </w:p>
          <w:p w14:paraId="0B45280A">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2.4.支持多种形式显示及打印回放数据，方便医生做出全面诊断</w:t>
            </w:r>
          </w:p>
          <w:p w14:paraId="62458B1B">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2.5.支持预设功能，可设置多种测量间隔和测量时间，适用于各种不同的测量需求</w:t>
            </w:r>
          </w:p>
          <w:p w14:paraId="2816DEED">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2.6.具有趋势图功能，能选择显示心率趋势图、平均动脉压、脉压差数据、错误数据、RPP数据趋势图</w:t>
            </w:r>
          </w:p>
          <w:p w14:paraId="343F293D">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2.7.数据表功能：能选择显示全部功能、按小时显示、显示小时平均值、显示错误数据、血压异常数据、错误数据可以不同颜色进行标注，并可选择是否显示；可修改或删除数据</w:t>
            </w:r>
          </w:p>
          <w:p w14:paraId="31C61B05">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2.8.柱状图功能，能选择显示全部、白天、晚上柱状图</w:t>
            </w:r>
          </w:p>
          <w:p w14:paraId="48102E71">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2.9.医生个性电子签名，可录入实际笔迹</w:t>
            </w:r>
          </w:p>
          <w:p w14:paraId="3BFD2E38">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2.10.对不同操作医生可设置不同操作密码，登陆界面可选择不同操作科室，多层安全保护机制</w:t>
            </w:r>
          </w:p>
          <w:p w14:paraId="4A3D100B">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2.11.具备儿童血压模式，具备多个阶段的数据库</w:t>
            </w:r>
          </w:p>
          <w:p w14:paraId="12B31849">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2.12.患者信息登记功能，可登录患者的详细信息，避免混淆数据</w:t>
            </w:r>
          </w:p>
          <w:p w14:paraId="0D322F2F">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2.13.支持晨峰血压报告功能</w:t>
            </w:r>
          </w:p>
          <w:p w14:paraId="0BB0EFE2">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2.14.支持晨峰下午血压报告功能</w:t>
            </w:r>
          </w:p>
          <w:p w14:paraId="37EFE8AA">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2.15.多种报告风格和结论风格可供选择</w:t>
            </w:r>
          </w:p>
          <w:p w14:paraId="4B546DA8">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2.16.可查看病例的相关临床信息</w:t>
            </w:r>
          </w:p>
          <w:p w14:paraId="40C30D06">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2.17.具备手动预约及自动批量预约（无需刷卡及输入ID号）</w:t>
            </w:r>
          </w:p>
          <w:p w14:paraId="7C038C78">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2.18.支持报告中正常值范围设置，含平均值、标准差、血压负荷和下降率的正常范围</w:t>
            </w:r>
          </w:p>
          <w:p w14:paraId="2B87F269">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3.配置清单：</w:t>
            </w:r>
          </w:p>
          <w:p w14:paraId="0CB831E7">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3.1.动态血压监测仪</w:t>
            </w:r>
            <w:r>
              <w:rPr>
                <w:rFonts w:hint="eastAsia" w:ascii="宋体" w:hAnsi="宋体" w:eastAsia="宋体" w:cs="宋体"/>
                <w:bCs/>
                <w:iCs/>
                <w:sz w:val="21"/>
                <w:szCs w:val="21"/>
              </w:rPr>
              <w:tab/>
            </w:r>
            <w:r>
              <w:rPr>
                <w:rFonts w:hint="eastAsia" w:ascii="宋体" w:hAnsi="宋体" w:eastAsia="宋体" w:cs="宋体"/>
                <w:bCs/>
                <w:iCs/>
                <w:sz w:val="21"/>
                <w:szCs w:val="21"/>
              </w:rPr>
              <w:t>20台</w:t>
            </w:r>
          </w:p>
          <w:p w14:paraId="0400E32B">
            <w:pPr>
              <w:spacing w:line="360" w:lineRule="auto"/>
              <w:jc w:val="left"/>
              <w:rPr>
                <w:rFonts w:hint="eastAsia" w:ascii="宋体" w:hAnsi="宋体" w:eastAsia="宋体" w:cs="宋体"/>
                <w:bCs/>
                <w:iCs/>
                <w:sz w:val="21"/>
                <w:szCs w:val="21"/>
              </w:rPr>
            </w:pPr>
            <w:r>
              <w:rPr>
                <w:rFonts w:hint="eastAsia" w:ascii="宋体" w:hAnsi="宋体" w:eastAsia="宋体" w:cs="宋体"/>
                <w:bCs/>
                <w:iCs/>
                <w:sz w:val="21"/>
                <w:szCs w:val="21"/>
              </w:rPr>
              <w:t>3.2.血压袖带</w:t>
            </w:r>
            <w:r>
              <w:rPr>
                <w:rFonts w:hint="eastAsia" w:ascii="宋体" w:hAnsi="宋体" w:eastAsia="宋体" w:cs="宋体"/>
                <w:bCs/>
                <w:iCs/>
                <w:sz w:val="21"/>
                <w:szCs w:val="21"/>
              </w:rPr>
              <w:tab/>
            </w:r>
            <w:r>
              <w:rPr>
                <w:rFonts w:hint="eastAsia" w:ascii="宋体" w:hAnsi="宋体" w:eastAsia="宋体" w:cs="宋体"/>
                <w:bCs/>
                <w:iCs/>
                <w:sz w:val="21"/>
                <w:szCs w:val="21"/>
              </w:rPr>
              <w:t>40个</w:t>
            </w:r>
          </w:p>
          <w:p w14:paraId="68CA21DF">
            <w:pPr>
              <w:spacing w:line="360" w:lineRule="auto"/>
              <w:jc w:val="left"/>
              <w:rPr>
                <w:rFonts w:hint="eastAsia" w:ascii="宋体" w:hAnsi="宋体" w:eastAsia="宋体" w:cs="宋体"/>
                <w:bCs/>
                <w:iCs/>
                <w:kern w:val="2"/>
                <w:sz w:val="21"/>
                <w:szCs w:val="21"/>
                <w:lang w:val="en-US" w:eastAsia="zh-CN" w:bidi="ar-SA"/>
              </w:rPr>
            </w:pPr>
            <w:r>
              <w:rPr>
                <w:rFonts w:hint="eastAsia" w:ascii="宋体" w:hAnsi="宋体" w:eastAsia="宋体" w:cs="宋体"/>
                <w:bCs/>
                <w:iCs/>
                <w:sz w:val="21"/>
                <w:szCs w:val="21"/>
              </w:rPr>
              <w:t>3.3.动态血压分析软件</w:t>
            </w:r>
            <w:r>
              <w:rPr>
                <w:rFonts w:hint="eastAsia" w:ascii="宋体" w:hAnsi="宋体" w:eastAsia="宋体" w:cs="宋体"/>
                <w:bCs/>
                <w:iCs/>
                <w:sz w:val="21"/>
                <w:szCs w:val="21"/>
              </w:rPr>
              <w:tab/>
            </w:r>
            <w:r>
              <w:rPr>
                <w:rFonts w:hint="eastAsia" w:ascii="宋体" w:hAnsi="宋体" w:eastAsia="宋体" w:cs="宋体"/>
                <w:bCs/>
                <w:iCs/>
                <w:sz w:val="21"/>
                <w:szCs w:val="21"/>
              </w:rPr>
              <w:t>10套</w:t>
            </w:r>
          </w:p>
        </w:tc>
      </w:tr>
    </w:tbl>
    <w:p w14:paraId="1D11CF50">
      <w:pPr>
        <w:rPr>
          <w:rFonts w:hint="eastAsia" w:ascii="宋体" w:hAnsi="宋体" w:cs="宋体"/>
          <w:color w:val="auto"/>
          <w:szCs w:val="21"/>
        </w:rPr>
      </w:pPr>
    </w:p>
    <w:p w14:paraId="448EA23A">
      <w:pPr>
        <w:numPr>
          <w:ilvl w:val="0"/>
          <w:numId w:val="1"/>
        </w:numPr>
        <w:spacing w:line="360" w:lineRule="auto"/>
        <w:rPr>
          <w:rFonts w:hint="eastAsia" w:ascii="宋体" w:hAnsi="宋体" w:eastAsia="宋体" w:cs="宋体"/>
          <w:color w:val="auto"/>
          <w:kern w:val="0"/>
          <w:sz w:val="21"/>
          <w:szCs w:val="21"/>
        </w:rPr>
      </w:pPr>
      <w:r>
        <w:rPr>
          <w:rFonts w:hint="eastAsia" w:ascii="宋体" w:hAnsi="宋体" w:eastAsia="宋体" w:cs="宋体"/>
          <w:color w:val="auto"/>
          <w:sz w:val="21"/>
          <w:szCs w:val="21"/>
          <w:shd w:val="clear" w:color="auto" w:fill="FFFFFF"/>
        </w:rPr>
        <w:t>投标人除按设备售后规定，负责培训设备操作人员，还应当培训1-2名负责此设备维护、维修的工程师。</w:t>
      </w:r>
    </w:p>
    <w:p w14:paraId="3BE47C63">
      <w:pPr>
        <w:numPr>
          <w:ilvl w:val="0"/>
          <w:numId w:val="1"/>
        </w:num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如该设备需要联接相关信息系统，供货方应当协调设备厂家配合信息系统提供方，联接调试好信息系统，并负责支付相关费用。</w:t>
      </w:r>
    </w:p>
    <w:p w14:paraId="68166B0E">
      <w:pPr>
        <w:tabs>
          <w:tab w:val="left" w:pos="3210"/>
        </w:tabs>
        <w:snapToGrid w:val="0"/>
        <w:spacing w:line="360" w:lineRule="auto"/>
        <w:textAlignment w:val="baseline"/>
        <w:rPr>
          <w:rFonts w:hint="eastAsia" w:ascii="宋体" w:hAnsi="宋体" w:eastAsia="宋体" w:cs="宋体"/>
          <w:color w:val="auto"/>
          <w:kern w:val="0"/>
          <w:sz w:val="21"/>
          <w:szCs w:val="21"/>
          <w:lang w:eastAsia="zh-CN"/>
        </w:rPr>
      </w:pPr>
    </w:p>
    <w:p w14:paraId="176FB9CA">
      <w:pPr>
        <w:tabs>
          <w:tab w:val="left" w:pos="3210"/>
        </w:tabs>
        <w:snapToGrid w:val="0"/>
        <w:spacing w:line="360" w:lineRule="auto"/>
        <w:textAlignment w:val="baseline"/>
        <w:rPr>
          <w:rStyle w:val="15"/>
          <w:rFonts w:ascii="宋体" w:hAnsi="宋体"/>
          <w:b/>
          <w:color w:val="auto"/>
          <w:sz w:val="24"/>
          <w:szCs w:val="24"/>
        </w:rPr>
      </w:pPr>
      <w:r>
        <w:rPr>
          <w:rStyle w:val="15"/>
          <w:rFonts w:ascii="宋体" w:hAnsi="宋体"/>
          <w:b/>
          <w:color w:val="auto"/>
          <w:sz w:val="24"/>
          <w:szCs w:val="24"/>
        </w:rPr>
        <w:t>采购项目商务要求</w:t>
      </w:r>
    </w:p>
    <w:p w14:paraId="66A51637">
      <w:pPr>
        <w:kinsoku w:val="0"/>
        <w:overflowPunct w:val="0"/>
        <w:autoSpaceDE w:val="0"/>
        <w:autoSpaceDN w:val="0"/>
        <w:adjustRightInd w:val="0"/>
        <w:snapToGrid w:val="0"/>
        <w:spacing w:line="360" w:lineRule="auto"/>
        <w:rPr>
          <w:rFonts w:hint="eastAsia" w:ascii="宋体" w:hAnsi="宋体" w:eastAsia="宋体" w:cs="Arial"/>
          <w:color w:val="auto"/>
          <w:lang w:eastAsia="zh-CN"/>
        </w:rPr>
      </w:pPr>
      <w:r>
        <w:rPr>
          <w:rFonts w:hint="eastAsia" w:ascii="宋体" w:hAnsi="宋体" w:eastAsia="宋体" w:cs="Arial"/>
          <w:b/>
          <w:bCs/>
          <w:color w:val="auto"/>
          <w:lang w:val="en-US" w:eastAsia="zh-CN"/>
        </w:rPr>
        <w:t>1</w:t>
      </w:r>
      <w:r>
        <w:rPr>
          <w:rFonts w:hint="eastAsia" w:ascii="宋体" w:hAnsi="宋体" w:eastAsia="宋体" w:cs="Arial"/>
          <w:b/>
          <w:bCs/>
          <w:color w:val="auto"/>
        </w:rPr>
        <w:t>)验收要求：</w:t>
      </w:r>
      <w:r>
        <w:rPr>
          <w:rFonts w:hint="eastAsia" w:ascii="宋体" w:hAnsi="宋体" w:eastAsia="宋体" w:cs="Arial"/>
          <w:color w:val="auto"/>
        </w:rPr>
        <w:t>设备到货后，必须免费安装调试至能正常使用，安装调试完成后30天内组织验收。</w:t>
      </w:r>
    </w:p>
    <w:p w14:paraId="058CB0BC">
      <w:pPr>
        <w:kinsoku w:val="0"/>
        <w:overflowPunct w:val="0"/>
        <w:autoSpaceDE w:val="0"/>
        <w:autoSpaceDN w:val="0"/>
        <w:adjustRightInd w:val="0"/>
        <w:snapToGrid w:val="0"/>
        <w:spacing w:line="360" w:lineRule="auto"/>
        <w:rPr>
          <w:rFonts w:hint="eastAsia" w:ascii="宋体" w:hAnsi="宋体" w:eastAsia="宋体" w:cs="Arial"/>
          <w:color w:val="auto"/>
          <w:lang w:eastAsia="zh-CN"/>
        </w:rPr>
      </w:pPr>
      <w:r>
        <w:rPr>
          <w:rFonts w:hint="eastAsia" w:ascii="宋体" w:hAnsi="宋体" w:eastAsia="宋体" w:cs="Arial"/>
          <w:color w:val="auto"/>
        </w:rPr>
        <w:t xml:space="preserve">1.货物若有国家标准按照国家标准验收，若无国家标准按行业标准验收，为原制造商制造的全新产品，整机无污染，无侵权行为、表面无划损、无任何缺陷隐患，在中国境内可依常规安全合法使用。 </w:t>
      </w:r>
    </w:p>
    <w:p w14:paraId="1E8BEDEF">
      <w:pPr>
        <w:kinsoku w:val="0"/>
        <w:overflowPunct w:val="0"/>
        <w:autoSpaceDE w:val="0"/>
        <w:autoSpaceDN w:val="0"/>
        <w:adjustRightInd w:val="0"/>
        <w:snapToGrid w:val="0"/>
        <w:spacing w:line="360" w:lineRule="auto"/>
        <w:rPr>
          <w:rFonts w:hint="eastAsia" w:ascii="宋体" w:hAnsi="宋体" w:eastAsia="宋体" w:cs="Arial"/>
          <w:color w:val="auto"/>
          <w:lang w:eastAsia="zh-CN"/>
        </w:rPr>
      </w:pPr>
      <w:r>
        <w:rPr>
          <w:rFonts w:hint="eastAsia" w:ascii="宋体" w:hAnsi="宋体" w:eastAsia="宋体" w:cs="Arial"/>
          <w:color w:val="auto"/>
        </w:rPr>
        <w:t xml:space="preserve">2.货物为原厂商未启封全新包装，具出厂合格证，序列号、包装箱号与出厂批号一致，并可追索查阅。所有随设备的附件必须齐全。 </w:t>
      </w:r>
    </w:p>
    <w:p w14:paraId="105701B9">
      <w:pPr>
        <w:kinsoku w:val="0"/>
        <w:overflowPunct w:val="0"/>
        <w:autoSpaceDE w:val="0"/>
        <w:autoSpaceDN w:val="0"/>
        <w:adjustRightInd w:val="0"/>
        <w:snapToGrid w:val="0"/>
        <w:spacing w:line="360" w:lineRule="auto"/>
        <w:rPr>
          <w:rFonts w:hint="eastAsia" w:ascii="宋体" w:hAnsi="宋体" w:eastAsia="宋体" w:cs="Arial"/>
          <w:color w:val="auto"/>
          <w:lang w:eastAsia="zh-CN"/>
        </w:rPr>
      </w:pPr>
      <w:r>
        <w:rPr>
          <w:rFonts w:hint="eastAsia" w:ascii="宋体" w:hAnsi="宋体" w:eastAsia="宋体" w:cs="Arial"/>
          <w:color w:val="auto"/>
        </w:rPr>
        <w:t xml:space="preserve">3.中标人应将关键主机设备的用户手册、保修手册、有关单证资料及配备件、随机工具等交付给采购人，使用操作及安全须知等重要资料应附有中文说明。 </w:t>
      </w:r>
    </w:p>
    <w:p w14:paraId="2CFBD550">
      <w:pPr>
        <w:kinsoku w:val="0"/>
        <w:overflowPunct w:val="0"/>
        <w:autoSpaceDE w:val="0"/>
        <w:autoSpaceDN w:val="0"/>
        <w:adjustRightInd w:val="0"/>
        <w:snapToGrid w:val="0"/>
        <w:spacing w:line="360" w:lineRule="auto"/>
        <w:rPr>
          <w:rFonts w:hint="eastAsia" w:ascii="宋体" w:hAnsi="宋体" w:eastAsia="宋体" w:cs="Arial"/>
          <w:color w:val="auto"/>
          <w:lang w:eastAsia="zh-CN"/>
        </w:rPr>
      </w:pPr>
      <w:r>
        <w:rPr>
          <w:rFonts w:hint="eastAsia" w:ascii="宋体" w:hAnsi="宋体" w:eastAsia="宋体" w:cs="Arial"/>
          <w:color w:val="auto"/>
        </w:rPr>
        <w:t xml:space="preserve">4.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 </w:t>
      </w:r>
    </w:p>
    <w:p w14:paraId="7FEE2861">
      <w:pPr>
        <w:kinsoku w:val="0"/>
        <w:overflowPunct w:val="0"/>
        <w:autoSpaceDE w:val="0"/>
        <w:autoSpaceDN w:val="0"/>
        <w:adjustRightInd w:val="0"/>
        <w:snapToGrid w:val="0"/>
        <w:spacing w:line="360" w:lineRule="auto"/>
        <w:rPr>
          <w:rFonts w:hint="eastAsia" w:ascii="宋体" w:hAnsi="宋体" w:eastAsia="宋体" w:cs="Arial"/>
          <w:color w:val="auto"/>
        </w:rPr>
      </w:pPr>
      <w:r>
        <w:rPr>
          <w:rFonts w:hint="eastAsia" w:ascii="宋体" w:hAnsi="宋体" w:eastAsia="宋体" w:cs="Arial"/>
          <w:color w:val="auto"/>
        </w:rPr>
        <w:t>5.货物送达采购人指定的地点后，由双方工作人员按送货单进行初步的检货验收和签名确认。验收包括：名称、型号、规格、配置、品牌、数量、外观质量、及货物包装是否完好，初步验收合格后采购人应在验收记录上签字或盖章。初检仅代表采购人收到中标人送达货物的数量，并不代表采购人已经认可中标人货物的质量。若在使用过程中发现货物存在质量缺陷、冒牌等问题时，中标人须2日内办理退货或换货</w:t>
      </w:r>
    </w:p>
    <w:p w14:paraId="21082466">
      <w:pPr>
        <w:kinsoku w:val="0"/>
        <w:overflowPunct w:val="0"/>
        <w:autoSpaceDE w:val="0"/>
        <w:autoSpaceDN w:val="0"/>
        <w:adjustRightInd w:val="0"/>
        <w:snapToGrid w:val="0"/>
        <w:spacing w:line="360" w:lineRule="auto"/>
        <w:rPr>
          <w:rFonts w:hint="eastAsia" w:ascii="宋体" w:hAnsi="宋体" w:eastAsia="宋体" w:cs="Arial"/>
          <w:color w:val="auto"/>
        </w:rPr>
      </w:pPr>
      <w:r>
        <w:rPr>
          <w:rFonts w:hint="eastAsia" w:ascii="宋体" w:hAnsi="宋体" w:eastAsia="宋体" w:cs="Arial"/>
          <w:b/>
          <w:bCs/>
          <w:color w:val="auto"/>
          <w:lang w:val="en-US" w:eastAsia="zh-CN"/>
        </w:rPr>
        <w:t>2)保修期及售后服务要求：</w:t>
      </w:r>
      <w:r>
        <w:rPr>
          <w:rFonts w:hint="eastAsia" w:ascii="宋体" w:hAnsi="宋体" w:eastAsia="宋体" w:cs="Arial"/>
          <w:color w:val="auto"/>
          <w:lang w:val="en-US" w:eastAsia="zh-CN"/>
        </w:rPr>
        <w:t>①中标人保证合同设备是全新、未曾使用过的，其质量、规格及技术特征符合合同附件的要求。 ②设备免费保修：项目整体验收后，提供不少于36个月的免费保修期，整机保修，保修期自双方代表在货物验收报告上签字之日起计算。保修期内中标人负责提供设备的三包（包修、包换、包退）服务，须有可随时上门提供维护、保修、技术支持等服务，并承担因此而产生的一切费用。 ③从验收合格之日起一个月内，采购人所购设备各部件发生非人为损坏，中标人应给予无条件更换。从验收合格之日起一年内，如同一设备一个月内累积2次出现同一问题，中标人必须无条件更换该设备。中标人售后服务人员定期回访，每三个月进行一次保养维修并登记。 ④保修期内货物各部件发生非人为故障的，中标人应免费上门更换同种品牌规格型号的新部件；货物发生人为故障的，中标人应上门更换同种品牌规格型号的新部件，只收零配件成本，不得加收其它任何费用。 ⑤免费提供7×24小时技术支持，永久性免费提供电话技术指导和咨询服务。保修期内，货物故障报修响应时间为：故障响应时间不超过壹小时，到达现场时间不超过贰小时；当天无法修复的，需提供同等规格的产品代用，直至故障设备修复，中标人负责所有因设备质量问题而产生的费用。 ⑥在保修期届满后，中标人应对设备实行终身维修，提供长期上门维修服务，服务费不高于同期市场价。采购人如需修理设备部件，中标人应在收到需修理部件后半个月内修复。并在修复期间，中标人应提供同型号或类似的设备给采购人使用，以避免采购人因设备部件损坏而不能正常运作。 ⑦中标人为采购人提供操作及维护培训，主要内容为设备的基本结构、性能、主要部件的构造及原理，日常使用操作、保养与管理，常见故障的排除，紧急情况的处理等，培训地点主要在设备安装现场或按双方协商安排。 ⑧因设备的质量问题而发生争议，由广东省或汕头市质检部门进行质量鉴定。设备符合质量标准的，鉴定费用由采购人承担；设备不符合质量标准的，鉴定费用由中标人承担。</w:t>
      </w:r>
    </w:p>
    <w:p w14:paraId="2308E27C">
      <w:pPr>
        <w:numPr>
          <w:ilvl w:val="0"/>
          <w:numId w:val="0"/>
        </w:numPr>
        <w:tabs>
          <w:tab w:val="left" w:pos="312"/>
        </w:tabs>
        <w:kinsoku w:val="0"/>
        <w:overflowPunct w:val="0"/>
        <w:autoSpaceDE w:val="0"/>
        <w:autoSpaceDN w:val="0"/>
        <w:adjustRightInd w:val="0"/>
        <w:snapToGrid w:val="0"/>
        <w:spacing w:line="360" w:lineRule="auto"/>
        <w:ind w:left="0"/>
        <w:rPr>
          <w:rFonts w:hint="eastAsia" w:ascii="宋体" w:hAnsi="宋体" w:cs="Arial"/>
          <w:color w:val="auto"/>
        </w:rPr>
      </w:pPr>
      <w:r>
        <w:rPr>
          <w:rFonts w:hint="eastAsia" w:ascii="宋体" w:hAnsi="宋体" w:eastAsia="宋体" w:cs="Arial"/>
          <w:b/>
          <w:bCs/>
          <w:color w:val="auto"/>
          <w:lang w:val="en-US" w:eastAsia="zh-CN"/>
        </w:rPr>
        <w:t>3）</w:t>
      </w:r>
      <w:r>
        <w:rPr>
          <w:rFonts w:hint="eastAsia" w:ascii="宋体" w:hAnsi="宋体" w:eastAsia="宋体" w:cs="Arial"/>
          <w:b/>
          <w:bCs/>
          <w:color w:val="auto"/>
        </w:rPr>
        <w:t>付款方式：</w:t>
      </w:r>
      <w:r>
        <w:rPr>
          <w:color w:val="auto"/>
        </w:rPr>
        <w:t>合同设备到达采购人指定地点完成安装、调试、验收、培训并交付使用后，中标人于6个月内凭：①合同、②正式发票、③验收调试报告（加盖采购人公章）、④中标通知书向采购人申请付款，采购人向中标人支付合同总金额的95％，剩余5％待验收合格保修期满后一次性无息付清</w:t>
      </w:r>
      <w:r>
        <w:rPr>
          <w:rFonts w:hint="eastAsia" w:ascii="宋体" w:hAnsi="宋体" w:cs="宋体"/>
          <w:szCs w:val="21"/>
        </w:rPr>
        <w:t>。</w:t>
      </w:r>
    </w:p>
    <w:p w14:paraId="1DC0837C">
      <w:pPr>
        <w:adjustRightInd w:val="0"/>
        <w:snapToGrid w:val="0"/>
        <w:spacing w:line="400" w:lineRule="exact"/>
        <w:jc w:val="both"/>
        <w:rPr>
          <w:rFonts w:hint="eastAsia" w:ascii="宋体" w:hAnsi="宋体" w:eastAsia="宋体" w:cs="宋体"/>
          <w:b/>
          <w:bCs w:val="0"/>
          <w:color w:val="auto"/>
          <w:sz w:val="21"/>
          <w:szCs w:val="21"/>
          <w:highlight w:val="none"/>
          <w:shd w:val="clear" w:color="auto" w:fill="FFFFFF"/>
        </w:rPr>
      </w:pPr>
      <w:bookmarkStart w:id="4" w:name="OLE_LINK12"/>
      <w:r>
        <w:rPr>
          <w:rFonts w:hint="eastAsia" w:ascii="宋体" w:hAnsi="宋体" w:eastAsia="宋体" w:cs="宋体"/>
          <w:b/>
          <w:bCs w:val="0"/>
          <w:color w:val="auto"/>
          <w:sz w:val="21"/>
          <w:szCs w:val="21"/>
          <w:highlight w:val="none"/>
          <w:shd w:val="clear" w:color="auto" w:fill="FFFFFF"/>
          <w:lang w:val="en-US" w:eastAsia="zh-CN"/>
        </w:rPr>
        <w:t>其他要求</w:t>
      </w:r>
    </w:p>
    <w:p w14:paraId="441C0441">
      <w:pPr>
        <w:adjustRightInd w:val="0"/>
        <w:snapToGrid w:val="0"/>
        <w:spacing w:line="400" w:lineRule="exact"/>
        <w:jc w:val="both"/>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★1、串通投标的处置</w:t>
      </w:r>
    </w:p>
    <w:p w14:paraId="47C5D1A8">
      <w:pPr>
        <w:adjustRightInd w:val="0"/>
        <w:snapToGrid w:val="0"/>
        <w:spacing w:line="400" w:lineRule="exact"/>
        <w:jc w:val="both"/>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投标人存在政府采购相关法律法规规定的属于投标人相互串通投标情形的，投标无效。</w:t>
      </w:r>
    </w:p>
    <w:p w14:paraId="01E50399">
      <w:pPr>
        <w:adjustRightInd w:val="0"/>
        <w:snapToGrid w:val="0"/>
        <w:spacing w:line="400" w:lineRule="exact"/>
        <w:jc w:val="both"/>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投标人串通投标中标的，其行为是在签订合同生效之前被认定的，则中标无效；</w:t>
      </w:r>
      <w:r>
        <w:rPr>
          <w:rFonts w:hint="eastAsia" w:ascii="宋体" w:hAnsi="宋体" w:eastAsia="宋体" w:cs="宋体"/>
          <w:bCs/>
          <w:color w:val="auto"/>
          <w:sz w:val="21"/>
          <w:szCs w:val="21"/>
          <w:highlight w:val="none"/>
          <w:shd w:val="clear" w:color="auto" w:fill="FFFFFF"/>
          <w:lang w:eastAsia="zh-CN"/>
        </w:rPr>
        <w:t>采购人</w:t>
      </w:r>
      <w:r>
        <w:rPr>
          <w:rFonts w:hint="eastAsia" w:ascii="宋体" w:hAnsi="宋体" w:eastAsia="宋体" w:cs="宋体"/>
          <w:bCs/>
          <w:color w:val="auto"/>
          <w:sz w:val="21"/>
          <w:szCs w:val="21"/>
          <w:highlight w:val="none"/>
          <w:shd w:val="clear" w:color="auto" w:fill="FFFFFF"/>
        </w:rPr>
        <w:t>可以重新开展招标采购活动，也可以按照评标报告推荐的中标候选人名单排序，确定下一候选人为中标供应商。</w:t>
      </w:r>
    </w:p>
    <w:p w14:paraId="61E712AA">
      <w:pPr>
        <w:adjustRightInd w:val="0"/>
        <w:snapToGrid w:val="0"/>
        <w:spacing w:line="400" w:lineRule="exact"/>
        <w:jc w:val="both"/>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投标人串通投标中标的，其行为是在签订合同生效之后被证实的，则认定为投标人的违约行为，按合同约定承担违约责任，</w:t>
      </w:r>
      <w:r>
        <w:rPr>
          <w:rFonts w:hint="eastAsia" w:ascii="宋体" w:hAnsi="宋体" w:eastAsia="宋体" w:cs="宋体"/>
          <w:bCs/>
          <w:color w:val="auto"/>
          <w:sz w:val="21"/>
          <w:szCs w:val="21"/>
          <w:highlight w:val="none"/>
          <w:shd w:val="clear" w:color="auto" w:fill="FFFFFF"/>
          <w:lang w:eastAsia="zh-CN"/>
        </w:rPr>
        <w:t>采购人</w:t>
      </w:r>
      <w:r>
        <w:rPr>
          <w:rFonts w:hint="eastAsia" w:ascii="宋体" w:hAnsi="宋体" w:eastAsia="宋体" w:cs="宋体"/>
          <w:bCs/>
          <w:color w:val="auto"/>
          <w:sz w:val="21"/>
          <w:szCs w:val="21"/>
          <w:highlight w:val="none"/>
          <w:shd w:val="clear" w:color="auto" w:fill="FFFFFF"/>
        </w:rPr>
        <w:t>有权终止合同。</w:t>
      </w:r>
    </w:p>
    <w:p w14:paraId="269B34BA">
      <w:pPr>
        <w:adjustRightInd w:val="0"/>
        <w:snapToGrid w:val="0"/>
        <w:spacing w:line="400" w:lineRule="exact"/>
        <w:jc w:val="both"/>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上述串通投标行为，构成犯罪的，依法追究刑事责任；尚不构成犯罪的，依据相关法律规定处罚，给</w:t>
      </w:r>
      <w:r>
        <w:rPr>
          <w:rFonts w:hint="eastAsia" w:ascii="宋体" w:hAnsi="宋体" w:eastAsia="宋体" w:cs="宋体"/>
          <w:bCs/>
          <w:color w:val="auto"/>
          <w:sz w:val="21"/>
          <w:szCs w:val="21"/>
          <w:highlight w:val="none"/>
          <w:shd w:val="clear" w:color="auto" w:fill="FFFFFF"/>
          <w:lang w:eastAsia="zh-CN"/>
        </w:rPr>
        <w:t>采购人</w:t>
      </w:r>
      <w:r>
        <w:rPr>
          <w:rFonts w:hint="eastAsia" w:ascii="宋体" w:hAnsi="宋体" w:eastAsia="宋体" w:cs="宋体"/>
          <w:bCs/>
          <w:color w:val="auto"/>
          <w:sz w:val="21"/>
          <w:szCs w:val="21"/>
          <w:highlight w:val="none"/>
          <w:shd w:val="clear" w:color="auto" w:fill="FFFFFF"/>
        </w:rPr>
        <w:t>造成损失的应承担赔偿责任。</w:t>
      </w:r>
    </w:p>
    <w:p w14:paraId="3ACD731F">
      <w:pPr>
        <w:adjustRightInd w:val="0"/>
        <w:snapToGrid w:val="0"/>
        <w:spacing w:line="400" w:lineRule="exact"/>
        <w:jc w:val="both"/>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★2、不参与串通投标承诺</w:t>
      </w:r>
    </w:p>
    <w:p w14:paraId="18441C74">
      <w:pPr>
        <w:adjustRightInd w:val="0"/>
        <w:snapToGrid w:val="0"/>
        <w:spacing w:line="400" w:lineRule="exact"/>
        <w:jc w:val="both"/>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投标人须承诺在本项目招投标活动中，不参与各种情形的串通投标等违法违规行为。（提供加盖投标人单位公章的承诺函，格式</w:t>
      </w:r>
      <w:r>
        <w:rPr>
          <w:rFonts w:hint="eastAsia" w:ascii="宋体" w:hAnsi="宋体" w:eastAsia="宋体" w:cs="宋体"/>
          <w:bCs/>
          <w:color w:val="auto"/>
          <w:sz w:val="21"/>
          <w:szCs w:val="21"/>
          <w:highlight w:val="none"/>
          <w:shd w:val="clear" w:color="auto" w:fill="FFFFFF"/>
          <w:lang w:eastAsia="zh-CN"/>
        </w:rPr>
        <w:t>自拟</w:t>
      </w:r>
      <w:r>
        <w:rPr>
          <w:rFonts w:hint="eastAsia" w:ascii="宋体" w:hAnsi="宋体" w:eastAsia="宋体" w:cs="宋体"/>
          <w:bCs/>
          <w:color w:val="auto"/>
          <w:sz w:val="21"/>
          <w:szCs w:val="21"/>
          <w:highlight w:val="none"/>
          <w:shd w:val="clear" w:color="auto" w:fill="FFFFFF"/>
        </w:rPr>
        <w:t>）</w:t>
      </w:r>
    </w:p>
    <w:bookmarkEnd w:id="4"/>
    <w:p w14:paraId="52452CE6">
      <w:pPr>
        <w:pStyle w:val="7"/>
        <w:spacing w:line="360" w:lineRule="auto"/>
        <w:rPr>
          <w:rFonts w:hint="eastAsia"/>
          <w:color w:val="auto"/>
          <w:sz w:val="21"/>
          <w:szCs w:val="21"/>
        </w:rPr>
      </w:pPr>
    </w:p>
    <w:p w14:paraId="27200BDD">
      <w:pPr>
        <w:pStyle w:val="7"/>
        <w:spacing w:line="360" w:lineRule="auto"/>
        <w:rPr>
          <w:rFonts w:hint="eastAsia"/>
          <w:color w:val="auto"/>
          <w:sz w:val="21"/>
          <w:szCs w:val="21"/>
        </w:rPr>
      </w:pPr>
    </w:p>
    <w:p w14:paraId="0F2B15AB">
      <w:pPr>
        <w:pStyle w:val="7"/>
        <w:rPr>
          <w:rFonts w:hint="eastAsia"/>
          <w:color w:val="auto"/>
        </w:rPr>
      </w:pPr>
    </w:p>
    <w:p w14:paraId="433FB518">
      <w:pPr>
        <w:pStyle w:val="7"/>
        <w:rPr>
          <w:rFonts w:hint="eastAsia"/>
          <w:color w:val="auto"/>
        </w:rPr>
      </w:pPr>
    </w:p>
    <w:p w14:paraId="49E2C846">
      <w:pPr>
        <w:rPr>
          <w:rFonts w:hint="eastAsia" w:ascii="宋体" w:hAnsi="宋体" w:eastAsia="宋体" w:cs="宋体"/>
        </w:rPr>
      </w:pPr>
    </w:p>
    <w:p w14:paraId="35E55CC4">
      <w:pPr>
        <w:rPr>
          <w:rFonts w:hint="eastAsia" w:ascii="宋体" w:hAnsi="宋体" w:eastAsia="宋体" w:cs="宋体"/>
        </w:rPr>
      </w:pPr>
    </w:p>
    <w:p w14:paraId="6E30AFFA">
      <w:pPr>
        <w:rPr>
          <w:rFonts w:hint="eastAsia" w:ascii="宋体" w:hAnsi="宋体" w:eastAsia="宋体" w:cs="宋体"/>
        </w:rPr>
      </w:pPr>
    </w:p>
    <w:p w14:paraId="0A5A9E6C">
      <w:pPr>
        <w:rPr>
          <w:rFonts w:hint="eastAsia" w:ascii="宋体" w:hAnsi="宋体" w:eastAsia="宋体" w:cs="宋体"/>
        </w:rPr>
      </w:pPr>
    </w:p>
    <w:p w14:paraId="75761F39">
      <w:pPr>
        <w:rPr>
          <w:rFonts w:hint="eastAsia" w:ascii="宋体" w:hAnsi="宋体" w:eastAsia="宋体" w:cs="宋体"/>
        </w:rPr>
      </w:pPr>
    </w:p>
    <w:p w14:paraId="4138A9B7">
      <w:pPr>
        <w:rPr>
          <w:rFonts w:hint="eastAsia" w:ascii="宋体" w:hAnsi="宋体" w:eastAsia="宋体" w:cs="宋体"/>
        </w:rPr>
      </w:pPr>
    </w:p>
    <w:p w14:paraId="2723AC73">
      <w:pPr>
        <w:rPr>
          <w:rFonts w:hint="eastAsia" w:ascii="宋体" w:hAnsi="宋体" w:eastAsia="宋体" w:cs="宋体"/>
        </w:rPr>
      </w:pPr>
    </w:p>
    <w:p w14:paraId="06426804">
      <w:pPr>
        <w:rPr>
          <w:rFonts w:hint="eastAsia" w:ascii="宋体" w:hAnsi="宋体" w:eastAsia="宋体" w:cs="宋体"/>
        </w:rPr>
      </w:pPr>
    </w:p>
    <w:p w14:paraId="65CB3254">
      <w:pPr>
        <w:rPr>
          <w:rFonts w:hint="eastAsia" w:ascii="宋体" w:hAnsi="宋体" w:eastAsia="宋体" w:cs="宋体"/>
        </w:rPr>
      </w:pPr>
    </w:p>
    <w:p w14:paraId="401A729F">
      <w:pPr>
        <w:rPr>
          <w:rFonts w:hint="eastAsia" w:ascii="宋体" w:hAnsi="宋体" w:eastAsia="宋体" w:cs="宋体"/>
        </w:rPr>
      </w:pPr>
    </w:p>
    <w:p w14:paraId="4DDDCDEB">
      <w:pPr>
        <w:rPr>
          <w:rFonts w:hint="eastAsia" w:ascii="宋体" w:hAnsi="宋体" w:eastAsia="宋体" w:cs="宋体"/>
        </w:rPr>
      </w:pPr>
    </w:p>
    <w:p w14:paraId="16ED8FE6">
      <w:pPr>
        <w:rPr>
          <w:rFonts w:hint="eastAsia" w:ascii="宋体" w:hAnsi="宋体" w:eastAsia="宋体" w:cs="宋体"/>
        </w:rPr>
      </w:pPr>
    </w:p>
    <w:p w14:paraId="53D79833">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DE38D5"/>
    <w:multiLevelType w:val="multilevel"/>
    <w:tmpl w:val="35DE38D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NzQ5MzM4YjJhYzY1N2U4ZWI3OTgxNmYwN2EzMzEifQ=="/>
  </w:docVars>
  <w:rsids>
    <w:rsidRoot w:val="67613A39"/>
    <w:rsid w:val="346C040B"/>
    <w:rsid w:val="5D3D64D2"/>
    <w:rsid w:val="6761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kern w:val="44"/>
      <w:sz w:val="44"/>
    </w:rPr>
  </w:style>
  <w:style w:type="paragraph" w:styleId="2">
    <w:name w:val="heading 2"/>
    <w:basedOn w:val="1"/>
    <w:next w:val="1"/>
    <w:qFormat/>
    <w:uiPriority w:val="0"/>
    <w:pPr>
      <w:keepNext/>
      <w:keepLines/>
      <w:adjustRightInd w:val="0"/>
      <w:spacing w:before="260" w:beforeLines="0" w:after="260" w:afterLines="0" w:line="416" w:lineRule="atLeast"/>
      <w:textAlignment w:val="baseline"/>
      <w:outlineLvl w:val="1"/>
    </w:pPr>
    <w:rPr>
      <w:rFonts w:ascii="Arial" w:hAnsi="Arial" w:eastAsia="黑体"/>
      <w:b/>
      <w:sz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99"/>
    <w:pPr>
      <w:autoSpaceDE w:val="0"/>
      <w:autoSpaceDN w:val="0"/>
      <w:adjustRightInd w:val="0"/>
      <w:jc w:val="left"/>
    </w:pPr>
    <w:rPr>
      <w:rFonts w:ascii="宋体"/>
      <w:kern w:val="0"/>
      <w:sz w:val="28"/>
    </w:rPr>
  </w:style>
  <w:style w:type="paragraph" w:styleId="5">
    <w:name w:val="Body Text Indent"/>
    <w:basedOn w:val="1"/>
    <w:next w:val="6"/>
    <w:uiPriority w:val="0"/>
    <w:pPr>
      <w:ind w:left="359" w:leftChars="171" w:firstLine="179" w:firstLineChars="85"/>
    </w:pPr>
    <w:rPr>
      <w:rFonts w:ascii="宋体" w:hAnsi="宋体"/>
      <w:b/>
    </w:rPr>
  </w:style>
  <w:style w:type="paragraph" w:styleId="6">
    <w:name w:val="envelope return"/>
    <w:basedOn w:val="1"/>
    <w:qFormat/>
    <w:uiPriority w:val="0"/>
    <w:pPr>
      <w:snapToGrid w:val="0"/>
    </w:pPr>
    <w:rPr>
      <w:rFonts w:ascii="Arial" w:hAnsi="Arial"/>
    </w:rPr>
  </w:style>
  <w:style w:type="paragraph" w:styleId="7">
    <w:name w:val="Body Text 2"/>
    <w:basedOn w:val="1"/>
    <w:qFormat/>
    <w:uiPriority w:val="0"/>
    <w:pPr>
      <w:autoSpaceDE w:val="0"/>
      <w:autoSpaceDN w:val="0"/>
      <w:adjustRightInd w:val="0"/>
    </w:pPr>
    <w:rPr>
      <w:rFonts w:ascii="宋体"/>
      <w:kern w:val="0"/>
      <w:sz w:val="2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5"/>
    <w:uiPriority w:val="0"/>
    <w:pPr>
      <w:spacing w:after="120"/>
      <w:ind w:left="420" w:leftChars="200" w:firstLine="420" w:firstLineChars="200"/>
    </w:pPr>
    <w:rPr>
      <w:szCs w:val="24"/>
    </w:rPr>
  </w:style>
  <w:style w:type="table" w:styleId="11">
    <w:name w:val="Table Grid"/>
    <w:basedOn w:val="1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null3"/>
    <w:hidden/>
    <w:qFormat/>
    <w:uiPriority w:val="0"/>
    <w:rPr>
      <w:rFonts w:hint="eastAsia" w:asciiTheme="minorHAnsi" w:hAnsiTheme="minorHAnsi" w:eastAsiaTheme="minorEastAsia" w:cstheme="minorBidi"/>
      <w:lang w:val="en-US" w:eastAsia="zh-CN" w:bidi="ar-SA"/>
    </w:rPr>
  </w:style>
  <w:style w:type="paragraph" w:customStyle="1" w:styleId="14">
    <w:name w:val="正文文本缩进1"/>
    <w:basedOn w:val="4"/>
    <w:qFormat/>
    <w:uiPriority w:val="0"/>
    <w:pPr>
      <w:ind w:firstLine="830" w:firstLineChars="352"/>
    </w:pPr>
    <w:rPr>
      <w:rFonts w:ascii="仿宋_GB2312" w:eastAsia="仿宋_GB2312"/>
      <w:sz w:val="32"/>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4628</Words>
  <Characters>4809</Characters>
  <Lines>0</Lines>
  <Paragraphs>0</Paragraphs>
  <TotalTime>0</TotalTime>
  <ScaleCrop>false</ScaleCrop>
  <LinksUpToDate>false</LinksUpToDate>
  <CharactersWithSpaces>5160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2026-05-15T08:52:00Z</dcterms:created>
  <dc:creator>administrator</dc:creator>
  <cp:lastModifiedBy>administrator</cp:lastModifiedBy>
  <dcterms:modified xsi:type="dcterms:W3CDTF">2026-06-12T06:51:58Z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D46D8D66086B420DAC78F1D228E3C321</vt:lpwstr>
  </property>
  <property fmtid="{D5CDD505-2E9C-101B-9397-08002B2CF9AE}" pid="4" name="KSOTemplateDocerSaveRecord">
    <vt:lpwstr>eyJoZGlkIjoiMDExYzU0NTkzMTcwN2ZjN2E5Y2JkZTE0N2MzMGFhNzQiLCJ1c2VySWQiOiI1NDY3MzE5MjgifQ==</vt:lpwstr>
  </property>
</Properties>
</file>