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63D69">
      <w:pPr>
        <w:pStyle w:val="7"/>
        <w:jc w:val="center"/>
        <w:rPr>
          <w:rFonts w:hint="eastAsia" w:ascii="仿宋" w:hAnsi="仿宋" w:eastAsia="仿宋" w:cs="仿宋"/>
          <w:b/>
          <w:color w:val="auto"/>
          <w:sz w:val="56"/>
          <w:szCs w:val="56"/>
          <w:highlight w:val="none"/>
        </w:rPr>
      </w:pPr>
    </w:p>
    <w:p w14:paraId="2E275C26">
      <w:pPr>
        <w:pStyle w:val="7"/>
        <w:jc w:val="center"/>
        <w:rPr>
          <w:rFonts w:hint="eastAsia" w:ascii="仿宋" w:hAnsi="仿宋" w:eastAsia="仿宋" w:cs="仿宋"/>
          <w:b/>
          <w:color w:val="auto"/>
          <w:sz w:val="56"/>
          <w:szCs w:val="56"/>
          <w:highlight w:val="none"/>
        </w:rPr>
      </w:pPr>
    </w:p>
    <w:p w14:paraId="0ADDBED0">
      <w:pPr>
        <w:pStyle w:val="7"/>
        <w:jc w:val="center"/>
        <w:outlineLvl w:val="0"/>
        <w:rPr>
          <w:rFonts w:hint="eastAsia" w:ascii="仿宋" w:hAnsi="仿宋" w:eastAsia="仿宋" w:cs="仿宋"/>
          <w:b/>
          <w:color w:val="auto"/>
          <w:sz w:val="56"/>
          <w:szCs w:val="56"/>
          <w:highlight w:val="none"/>
        </w:rPr>
      </w:pPr>
      <w:r>
        <w:rPr>
          <w:rFonts w:hint="eastAsia" w:ascii="仿宋" w:hAnsi="仿宋" w:eastAsia="仿宋" w:cs="仿宋"/>
          <w:b/>
          <w:color w:val="auto"/>
          <w:sz w:val="72"/>
          <w:szCs w:val="72"/>
          <w:highlight w:val="none"/>
          <w:lang w:val="en-US" w:eastAsia="zh-CN"/>
        </w:rPr>
        <w:t>采 购 需 求 调 查 资 料</w:t>
      </w:r>
    </w:p>
    <w:p w14:paraId="7D2B8E68">
      <w:pPr>
        <w:pStyle w:val="7"/>
        <w:jc w:val="center"/>
        <w:rPr>
          <w:rFonts w:hint="eastAsia" w:ascii="仿宋" w:hAnsi="仿宋" w:eastAsia="仿宋" w:cs="仿宋"/>
          <w:b/>
          <w:color w:val="auto"/>
          <w:sz w:val="52"/>
          <w:szCs w:val="52"/>
          <w:highlight w:val="none"/>
        </w:rPr>
      </w:pPr>
    </w:p>
    <w:p w14:paraId="32CFE9E4">
      <w:pPr>
        <w:pStyle w:val="7"/>
        <w:jc w:val="center"/>
        <w:rPr>
          <w:rFonts w:hint="eastAsia" w:ascii="仿宋" w:hAnsi="仿宋" w:eastAsia="仿宋" w:cs="仿宋"/>
          <w:b/>
          <w:color w:val="auto"/>
          <w:sz w:val="44"/>
          <w:szCs w:val="44"/>
          <w:highlight w:val="none"/>
        </w:rPr>
      </w:pPr>
    </w:p>
    <w:p w14:paraId="3A8D2C3E">
      <w:pPr>
        <w:pStyle w:val="7"/>
        <w:jc w:val="center"/>
        <w:rPr>
          <w:rFonts w:hint="eastAsia" w:ascii="仿宋" w:hAnsi="仿宋" w:eastAsia="仿宋" w:cs="仿宋"/>
          <w:b/>
          <w:color w:val="auto"/>
          <w:sz w:val="44"/>
          <w:szCs w:val="44"/>
          <w:highlight w:val="none"/>
        </w:rPr>
      </w:pPr>
    </w:p>
    <w:p w14:paraId="0FF5156E">
      <w:pPr>
        <w:pStyle w:val="6"/>
        <w:spacing w:line="360" w:lineRule="auto"/>
        <w:ind w:firstLine="1124" w:firstLineChars="350"/>
        <w:rPr>
          <w:rFonts w:hint="eastAsia" w:ascii="仿宋" w:hAnsi="仿宋" w:eastAsia="仿宋" w:cs="仿宋"/>
          <w:b/>
          <w:color w:val="auto"/>
          <w:sz w:val="32"/>
          <w:szCs w:val="32"/>
          <w:highlight w:val="none"/>
        </w:rPr>
      </w:pPr>
    </w:p>
    <w:p w14:paraId="1FEB00F1">
      <w:pPr>
        <w:pStyle w:val="6"/>
        <w:spacing w:line="360" w:lineRule="auto"/>
        <w:rPr>
          <w:rFonts w:hint="eastAsia" w:ascii="仿宋" w:hAnsi="仿宋" w:eastAsia="仿宋" w:cs="仿宋"/>
          <w:b/>
          <w:color w:val="auto"/>
          <w:sz w:val="32"/>
          <w:szCs w:val="32"/>
          <w:highlight w:val="none"/>
          <w:u w:val="thick"/>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u w:val="thick"/>
          <w:lang w:val="en-US" w:eastAsia="zh-CN"/>
        </w:rPr>
        <w:t>普宁市市区环卫作业外包服务项目(2026-2029年)</w:t>
      </w:r>
    </w:p>
    <w:p w14:paraId="49050B2E">
      <w:pPr>
        <w:pStyle w:val="6"/>
        <w:spacing w:line="360" w:lineRule="auto"/>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供应商地址：</w:t>
      </w:r>
      <w:r>
        <w:rPr>
          <w:rFonts w:hint="eastAsia" w:ascii="仿宋" w:hAnsi="仿宋" w:eastAsia="仿宋" w:cs="仿宋"/>
          <w:b/>
          <w:color w:val="auto"/>
          <w:sz w:val="32"/>
          <w:szCs w:val="32"/>
          <w:highlight w:val="none"/>
          <w:u w:val="thick"/>
          <w:lang w:val="en-US" w:eastAsia="zh-CN"/>
        </w:rPr>
        <w:t xml:space="preserve">                                          </w:t>
      </w:r>
    </w:p>
    <w:p w14:paraId="212C43DD">
      <w:pPr>
        <w:pStyle w:val="6"/>
        <w:spacing w:line="360" w:lineRule="auto"/>
        <w:rPr>
          <w:rFonts w:hint="eastAsia" w:ascii="仿宋" w:hAnsi="仿宋" w:eastAsia="仿宋" w:cs="仿宋"/>
          <w:b/>
          <w:color w:val="auto"/>
          <w:sz w:val="32"/>
          <w:szCs w:val="32"/>
          <w:highlight w:val="none"/>
          <w:u w:val="thick"/>
          <w:lang w:val="en-US" w:eastAsia="zh-CN"/>
        </w:rPr>
      </w:pPr>
      <w:r>
        <w:rPr>
          <w:rFonts w:hint="eastAsia" w:ascii="仿宋" w:hAnsi="仿宋" w:eastAsia="仿宋" w:cs="仿宋"/>
          <w:b/>
          <w:color w:val="auto"/>
          <w:sz w:val="32"/>
          <w:szCs w:val="32"/>
          <w:highlight w:val="none"/>
        </w:rPr>
        <w:t>联 系 人：</w:t>
      </w:r>
      <w:r>
        <w:rPr>
          <w:rFonts w:hint="eastAsia" w:ascii="仿宋" w:hAnsi="仿宋" w:eastAsia="仿宋" w:cs="仿宋"/>
          <w:b/>
          <w:color w:val="auto"/>
          <w:sz w:val="32"/>
          <w:szCs w:val="32"/>
          <w:highlight w:val="none"/>
          <w:u w:val="thick"/>
          <w:lang w:val="en-US" w:eastAsia="zh-CN"/>
        </w:rPr>
        <w:t xml:space="preserve">                                            </w:t>
      </w:r>
    </w:p>
    <w:p w14:paraId="20371DF9">
      <w:pPr>
        <w:pStyle w:val="6"/>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联系电话：</w:t>
      </w:r>
      <w:r>
        <w:rPr>
          <w:rFonts w:hint="eastAsia" w:ascii="仿宋" w:hAnsi="仿宋" w:eastAsia="仿宋" w:cs="仿宋"/>
          <w:b/>
          <w:color w:val="auto"/>
          <w:sz w:val="32"/>
          <w:szCs w:val="32"/>
          <w:highlight w:val="none"/>
          <w:u w:val="thick"/>
          <w:lang w:val="en-US" w:eastAsia="zh-CN"/>
        </w:rPr>
        <w:t xml:space="preserve">          </w:t>
      </w:r>
      <w:r>
        <w:rPr>
          <w:rFonts w:hint="eastAsia" w:ascii="仿宋" w:hAnsi="仿宋" w:eastAsia="仿宋" w:cs="仿宋"/>
          <w:b/>
          <w:color w:val="auto"/>
          <w:sz w:val="32"/>
          <w:szCs w:val="32"/>
          <w:highlight w:val="none"/>
          <w:u w:val="thick"/>
        </w:rPr>
        <w:t xml:space="preserve">        </w:t>
      </w:r>
      <w:r>
        <w:rPr>
          <w:rFonts w:hint="eastAsia" w:ascii="仿宋" w:hAnsi="仿宋" w:eastAsia="仿宋" w:cs="仿宋"/>
          <w:b/>
          <w:color w:val="auto"/>
          <w:sz w:val="32"/>
          <w:szCs w:val="32"/>
          <w:highlight w:val="none"/>
          <w:u w:val="thick"/>
          <w:lang w:val="en-US" w:eastAsia="zh-CN"/>
        </w:rPr>
        <w:t xml:space="preserve">           </w:t>
      </w:r>
      <w:r>
        <w:rPr>
          <w:rFonts w:hint="eastAsia" w:ascii="仿宋" w:hAnsi="仿宋" w:eastAsia="仿宋" w:cs="仿宋"/>
          <w:b/>
          <w:color w:val="auto"/>
          <w:sz w:val="32"/>
          <w:szCs w:val="32"/>
          <w:highlight w:val="none"/>
          <w:u w:val="thick"/>
        </w:rPr>
        <w:t xml:space="preserve">               </w:t>
      </w:r>
    </w:p>
    <w:p w14:paraId="023580D8">
      <w:pPr>
        <w:pStyle w:val="7"/>
        <w:spacing w:line="360" w:lineRule="auto"/>
        <w:ind w:firstLine="1645" w:firstLineChars="512"/>
        <w:rPr>
          <w:rFonts w:hint="eastAsia" w:ascii="仿宋" w:hAnsi="仿宋" w:eastAsia="仿宋" w:cs="仿宋"/>
          <w:b/>
          <w:color w:val="auto"/>
          <w:sz w:val="32"/>
          <w:szCs w:val="32"/>
          <w:highlight w:val="none"/>
        </w:rPr>
      </w:pPr>
    </w:p>
    <w:p w14:paraId="5C825100">
      <w:pPr>
        <w:pStyle w:val="7"/>
        <w:spacing w:line="360" w:lineRule="auto"/>
        <w:rPr>
          <w:rFonts w:hint="eastAsia" w:ascii="仿宋" w:hAnsi="仿宋" w:eastAsia="仿宋" w:cs="仿宋"/>
          <w:b/>
          <w:color w:val="auto"/>
          <w:sz w:val="32"/>
          <w:szCs w:val="32"/>
          <w:highlight w:val="none"/>
        </w:rPr>
      </w:pPr>
    </w:p>
    <w:p w14:paraId="2A2566E9">
      <w:pPr>
        <w:pStyle w:val="7"/>
        <w:spacing w:line="360" w:lineRule="auto"/>
        <w:rPr>
          <w:rFonts w:hint="eastAsia" w:ascii="仿宋" w:hAnsi="仿宋" w:eastAsia="仿宋" w:cs="仿宋"/>
          <w:b/>
          <w:color w:val="auto"/>
          <w:sz w:val="32"/>
          <w:szCs w:val="32"/>
          <w:highlight w:val="none"/>
        </w:rPr>
      </w:pPr>
    </w:p>
    <w:p w14:paraId="2B9A7CC4">
      <w:pPr>
        <w:pStyle w:val="7"/>
        <w:spacing w:line="360" w:lineRule="auto"/>
        <w:ind w:firstLine="1645" w:firstLineChars="512"/>
        <w:rPr>
          <w:rFonts w:hint="eastAsia" w:ascii="仿宋" w:hAnsi="仿宋" w:eastAsia="仿宋" w:cs="仿宋"/>
          <w:b/>
          <w:color w:val="auto"/>
          <w:sz w:val="32"/>
          <w:szCs w:val="32"/>
          <w:highlight w:val="none"/>
        </w:rPr>
      </w:pPr>
    </w:p>
    <w:p w14:paraId="4B791583">
      <w:pPr>
        <w:pStyle w:val="7"/>
        <w:spacing w:line="360" w:lineRule="auto"/>
        <w:ind w:firstLine="1645" w:firstLineChars="512"/>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供应商名称：</w:t>
      </w:r>
      <w:r>
        <w:rPr>
          <w:rFonts w:hint="eastAsia" w:ascii="仿宋" w:hAnsi="仿宋" w:eastAsia="仿宋" w:cs="仿宋"/>
          <w:b/>
          <w:color w:val="auto"/>
          <w:kern w:val="2"/>
          <w:sz w:val="32"/>
          <w:szCs w:val="32"/>
          <w:highlight w:val="none"/>
          <w:u w:val="thick"/>
          <w:lang w:val="en-US" w:eastAsia="zh-CN" w:bidi="ar-SA"/>
        </w:rPr>
        <w:t xml:space="preserve">                         </w:t>
      </w:r>
    </w:p>
    <w:p w14:paraId="5682AC2D">
      <w:pPr>
        <w:autoSpaceDE w:val="0"/>
        <w:autoSpaceDN w:val="0"/>
        <w:spacing w:line="360" w:lineRule="auto"/>
        <w:ind w:firstLine="1645" w:firstLineChars="512"/>
        <w:rPr>
          <w:rFonts w:hint="eastAsia" w:ascii="仿宋" w:hAnsi="仿宋" w:eastAsia="仿宋" w:cs="仿宋"/>
          <w:b/>
          <w:color w:val="auto"/>
          <w:sz w:val="28"/>
          <w:szCs w:val="28"/>
          <w:highlight w:val="none"/>
          <w:u w:val="single"/>
        </w:rPr>
      </w:pPr>
      <w:r>
        <w:rPr>
          <w:rFonts w:hint="eastAsia" w:ascii="仿宋" w:hAnsi="仿宋" w:eastAsia="仿宋" w:cs="仿宋"/>
          <w:b/>
          <w:color w:val="auto"/>
          <w:sz w:val="32"/>
          <w:szCs w:val="32"/>
          <w:highlight w:val="none"/>
        </w:rPr>
        <w:t>日      期：</w:t>
      </w:r>
      <w:r>
        <w:rPr>
          <w:rFonts w:hint="eastAsia" w:ascii="仿宋" w:hAnsi="仿宋" w:eastAsia="仿宋" w:cs="仿宋"/>
          <w:b/>
          <w:color w:val="auto"/>
          <w:kern w:val="2"/>
          <w:sz w:val="32"/>
          <w:szCs w:val="32"/>
          <w:highlight w:val="none"/>
          <w:u w:val="thick"/>
          <w:lang w:val="en-US" w:eastAsia="zh-CN" w:bidi="ar-SA"/>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kern w:val="2"/>
          <w:sz w:val="32"/>
          <w:szCs w:val="32"/>
          <w:highlight w:val="none"/>
          <w:u w:val="thick"/>
          <w:lang w:val="en-US" w:eastAsia="zh-CN" w:bidi="ar-SA"/>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kern w:val="2"/>
          <w:sz w:val="32"/>
          <w:szCs w:val="32"/>
          <w:highlight w:val="none"/>
          <w:u w:val="thick"/>
          <w:lang w:val="en-US" w:eastAsia="zh-CN" w:bidi="ar-SA"/>
        </w:rPr>
        <w:t xml:space="preserve">    </w:t>
      </w:r>
      <w:r>
        <w:rPr>
          <w:rFonts w:hint="eastAsia" w:ascii="仿宋" w:hAnsi="仿宋" w:eastAsia="仿宋" w:cs="仿宋"/>
          <w:b/>
          <w:color w:val="auto"/>
          <w:sz w:val="32"/>
          <w:szCs w:val="32"/>
          <w:highlight w:val="none"/>
        </w:rPr>
        <w:t>日</w:t>
      </w:r>
    </w:p>
    <w:p w14:paraId="546B95E3">
      <w:pPr>
        <w:pStyle w:val="17"/>
        <w:rPr>
          <w:rFonts w:hint="eastAsia" w:ascii="仿宋" w:hAnsi="仿宋" w:eastAsia="仿宋" w:cs="仿宋"/>
          <w:color w:val="auto"/>
          <w:highlight w:val="none"/>
        </w:rPr>
      </w:pPr>
    </w:p>
    <w:p w14:paraId="6C427E7D">
      <w:pPr>
        <w:pStyle w:val="17"/>
        <w:rPr>
          <w:rFonts w:hint="eastAsia" w:ascii="仿宋" w:hAnsi="仿宋" w:eastAsia="仿宋" w:cs="仿宋"/>
          <w:color w:val="auto"/>
          <w:highlight w:val="none"/>
        </w:rPr>
      </w:pPr>
    </w:p>
    <w:p w14:paraId="26F87C8B">
      <w:pPr>
        <w:pStyle w:val="17"/>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553C0C37">
      <w:pPr>
        <w:pStyle w:val="5"/>
        <w:spacing w:line="360" w:lineRule="auto"/>
        <w:jc w:val="center"/>
        <w:outlineLvl w:val="1"/>
        <w:rPr>
          <w:rFonts w:hint="eastAsia" w:ascii="仿宋" w:hAnsi="仿宋" w:eastAsia="仿宋" w:cs="仿宋"/>
          <w:b/>
          <w:bCs/>
          <w:color w:val="auto"/>
          <w:sz w:val="32"/>
          <w:szCs w:val="32"/>
          <w:highlight w:val="none"/>
          <w:lang w:val="en-US" w:eastAsia="zh-CN"/>
        </w:rPr>
      </w:pPr>
    </w:p>
    <w:p w14:paraId="4515424B">
      <w:pPr>
        <w:pStyle w:val="5"/>
        <w:spacing w:line="360" w:lineRule="auto"/>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调查资料</w:t>
      </w:r>
      <w:r>
        <w:rPr>
          <w:rFonts w:hint="eastAsia" w:ascii="仿宋" w:hAnsi="仿宋" w:eastAsia="仿宋" w:cs="仿宋"/>
          <w:b/>
          <w:bCs/>
          <w:color w:val="auto"/>
          <w:sz w:val="32"/>
          <w:szCs w:val="32"/>
          <w:highlight w:val="none"/>
        </w:rPr>
        <w:t>目录表</w:t>
      </w:r>
    </w:p>
    <w:p w14:paraId="2A96AA45">
      <w:pPr>
        <w:pStyle w:val="5"/>
        <w:spacing w:line="360" w:lineRule="auto"/>
        <w:jc w:val="center"/>
        <w:outlineLvl w:val="1"/>
        <w:rPr>
          <w:rFonts w:hint="eastAsia" w:ascii="仿宋" w:hAnsi="仿宋" w:eastAsia="仿宋" w:cs="仿宋"/>
          <w:b/>
          <w:bCs/>
          <w:color w:val="auto"/>
          <w:sz w:val="32"/>
          <w:szCs w:val="32"/>
          <w:highlight w:val="none"/>
        </w:rPr>
      </w:pPr>
    </w:p>
    <w:tbl>
      <w:tblPr>
        <w:tblStyle w:val="13"/>
        <w:tblW w:w="5096"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4"/>
        <w:gridCol w:w="457"/>
        <w:gridCol w:w="4470"/>
        <w:gridCol w:w="956"/>
        <w:gridCol w:w="956"/>
        <w:gridCol w:w="1447"/>
        <w:gridCol w:w="718"/>
      </w:tblGrid>
      <w:tr w14:paraId="6D465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1" w:hRule="atLeast"/>
          <w:jc w:val="center"/>
        </w:trPr>
        <w:tc>
          <w:tcPr>
            <w:tcW w:w="410" w:type="pct"/>
            <w:vMerge w:val="restart"/>
            <w:tcBorders>
              <w:top w:val="single" w:color="auto" w:sz="12" w:space="0"/>
              <w:bottom w:val="single" w:color="auto" w:sz="2" w:space="0"/>
            </w:tcBorders>
            <w:noWrap w:val="0"/>
            <w:vAlign w:val="center"/>
          </w:tcPr>
          <w:p w14:paraId="622E6C32">
            <w:pPr>
              <w:autoSpaceDE w:val="0"/>
              <w:autoSpaceDN w:val="0"/>
              <w:adjustRightInd w:val="0"/>
              <w:spacing w:line="360"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文件类型</w:t>
            </w:r>
          </w:p>
        </w:tc>
        <w:tc>
          <w:tcPr>
            <w:tcW w:w="232" w:type="pct"/>
            <w:vMerge w:val="restart"/>
            <w:tcBorders>
              <w:top w:val="single" w:color="auto" w:sz="12" w:space="0"/>
              <w:bottom w:val="single" w:color="auto" w:sz="2" w:space="0"/>
            </w:tcBorders>
            <w:noWrap w:val="0"/>
            <w:vAlign w:val="center"/>
          </w:tcPr>
          <w:p w14:paraId="627902A5">
            <w:pPr>
              <w:spacing w:line="360"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278" w:type="pct"/>
            <w:vMerge w:val="restart"/>
            <w:tcBorders>
              <w:top w:val="single" w:color="auto" w:sz="12" w:space="0"/>
              <w:bottom w:val="single" w:color="auto" w:sz="2" w:space="0"/>
            </w:tcBorders>
            <w:noWrap w:val="0"/>
            <w:vAlign w:val="center"/>
          </w:tcPr>
          <w:p w14:paraId="40A8189E">
            <w:pPr>
              <w:spacing w:line="360"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文件名称</w:t>
            </w:r>
          </w:p>
        </w:tc>
        <w:tc>
          <w:tcPr>
            <w:tcW w:w="974" w:type="pct"/>
            <w:gridSpan w:val="2"/>
            <w:tcBorders>
              <w:top w:val="single" w:color="auto" w:sz="12" w:space="0"/>
              <w:bottom w:val="single" w:color="auto" w:sz="2" w:space="0"/>
            </w:tcBorders>
            <w:noWrap w:val="0"/>
            <w:vAlign w:val="center"/>
          </w:tcPr>
          <w:p w14:paraId="0BAD5069">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提交情况</w:t>
            </w:r>
          </w:p>
        </w:tc>
        <w:tc>
          <w:tcPr>
            <w:tcW w:w="737" w:type="pct"/>
            <w:tcBorders>
              <w:top w:val="single" w:color="auto" w:sz="12" w:space="0"/>
              <w:bottom w:val="single" w:color="auto" w:sz="2" w:space="0"/>
            </w:tcBorders>
            <w:noWrap w:val="0"/>
            <w:vAlign w:val="center"/>
          </w:tcPr>
          <w:p w14:paraId="306C8B36">
            <w:pPr>
              <w:autoSpaceDE w:val="0"/>
              <w:autoSpaceDN w:val="0"/>
              <w:adjustRightInd w:val="0"/>
              <w:spacing w:line="360"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页码</w:t>
            </w:r>
          </w:p>
        </w:tc>
        <w:tc>
          <w:tcPr>
            <w:tcW w:w="366" w:type="pct"/>
            <w:tcBorders>
              <w:top w:val="single" w:color="auto" w:sz="12" w:space="0"/>
              <w:bottom w:val="single" w:color="auto" w:sz="2" w:space="0"/>
            </w:tcBorders>
            <w:noWrap w:val="0"/>
            <w:vAlign w:val="center"/>
          </w:tcPr>
          <w:p w14:paraId="10AC7CA0">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备注</w:t>
            </w:r>
          </w:p>
        </w:tc>
      </w:tr>
      <w:tr w14:paraId="30A16B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9" w:hRule="atLeast"/>
          <w:jc w:val="center"/>
        </w:trPr>
        <w:tc>
          <w:tcPr>
            <w:tcW w:w="410" w:type="pct"/>
            <w:vMerge w:val="continue"/>
            <w:tcBorders>
              <w:top w:val="single" w:color="auto" w:sz="2" w:space="0"/>
            </w:tcBorders>
            <w:shd w:val="clear" w:color="auto" w:fill="E0E0E0"/>
            <w:noWrap w:val="0"/>
            <w:vAlign w:val="center"/>
          </w:tcPr>
          <w:p w14:paraId="525691ED">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c>
          <w:tcPr>
            <w:tcW w:w="232" w:type="pct"/>
            <w:vMerge w:val="continue"/>
            <w:tcBorders>
              <w:top w:val="single" w:color="auto" w:sz="2" w:space="0"/>
              <w:bottom w:val="single" w:color="auto" w:sz="2" w:space="0"/>
            </w:tcBorders>
            <w:shd w:val="clear" w:color="auto" w:fill="E0E0E0"/>
            <w:noWrap w:val="0"/>
            <w:vAlign w:val="center"/>
          </w:tcPr>
          <w:p w14:paraId="7A5065D3">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c>
          <w:tcPr>
            <w:tcW w:w="2278" w:type="pct"/>
            <w:vMerge w:val="continue"/>
            <w:tcBorders>
              <w:top w:val="single" w:color="auto" w:sz="2" w:space="0"/>
            </w:tcBorders>
            <w:shd w:val="clear" w:color="auto" w:fill="E0E0E0"/>
            <w:noWrap w:val="0"/>
            <w:vAlign w:val="center"/>
          </w:tcPr>
          <w:p w14:paraId="50AB8C49">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c>
          <w:tcPr>
            <w:tcW w:w="487" w:type="pct"/>
            <w:tcBorders>
              <w:top w:val="single" w:color="auto" w:sz="2" w:space="0"/>
              <w:bottom w:val="single" w:color="auto" w:sz="2" w:space="0"/>
            </w:tcBorders>
            <w:noWrap w:val="0"/>
            <w:vAlign w:val="center"/>
          </w:tcPr>
          <w:p w14:paraId="45EF9BEB">
            <w:pPr>
              <w:autoSpaceDE w:val="0"/>
              <w:autoSpaceDN w:val="0"/>
              <w:adjustRightInd w:val="0"/>
              <w:spacing w:line="36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w:t>
            </w:r>
          </w:p>
        </w:tc>
        <w:tc>
          <w:tcPr>
            <w:tcW w:w="487" w:type="pct"/>
            <w:tcBorders>
              <w:top w:val="single" w:color="auto" w:sz="2" w:space="0"/>
              <w:bottom w:val="single" w:color="auto" w:sz="2" w:space="0"/>
            </w:tcBorders>
            <w:noWrap w:val="0"/>
            <w:vAlign w:val="center"/>
          </w:tcPr>
          <w:p w14:paraId="7325163C">
            <w:pPr>
              <w:autoSpaceDE w:val="0"/>
              <w:autoSpaceDN w:val="0"/>
              <w:adjustRightInd w:val="0"/>
              <w:spacing w:line="36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w:t>
            </w:r>
          </w:p>
        </w:tc>
        <w:tc>
          <w:tcPr>
            <w:tcW w:w="737" w:type="pct"/>
            <w:tcBorders>
              <w:top w:val="single" w:color="auto" w:sz="2" w:space="0"/>
              <w:bottom w:val="single" w:color="auto" w:sz="2" w:space="0"/>
            </w:tcBorders>
            <w:noWrap w:val="0"/>
            <w:vAlign w:val="center"/>
          </w:tcPr>
          <w:p w14:paraId="718540E5">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c>
          <w:tcPr>
            <w:tcW w:w="366" w:type="pct"/>
            <w:tcBorders>
              <w:top w:val="single" w:color="auto" w:sz="2" w:space="0"/>
              <w:bottom w:val="single" w:color="auto" w:sz="2" w:space="0"/>
            </w:tcBorders>
            <w:noWrap w:val="0"/>
            <w:vAlign w:val="center"/>
          </w:tcPr>
          <w:p w14:paraId="284001F6">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r>
      <w:tr w14:paraId="7E1ABD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0" w:type="pct"/>
            <w:vMerge w:val="restart"/>
            <w:noWrap w:val="0"/>
            <w:vAlign w:val="center"/>
          </w:tcPr>
          <w:p w14:paraId="6F5994EE">
            <w:pPr>
              <w:autoSpaceDE w:val="0"/>
              <w:autoSpaceDN w:val="0"/>
              <w:adjustRightInd w:val="0"/>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调查资料</w:t>
            </w:r>
          </w:p>
        </w:tc>
        <w:tc>
          <w:tcPr>
            <w:tcW w:w="232" w:type="pct"/>
            <w:tcBorders>
              <w:top w:val="single" w:color="auto" w:sz="2" w:space="0"/>
            </w:tcBorders>
            <w:noWrap w:val="0"/>
            <w:vAlign w:val="center"/>
          </w:tcPr>
          <w:p w14:paraId="513C6077">
            <w:pPr>
              <w:numPr>
                <w:ilvl w:val="0"/>
                <w:numId w:val="0"/>
              </w:numPr>
              <w:autoSpaceDE w:val="0"/>
              <w:autoSpaceDN w:val="0"/>
              <w:adjustRightInd w:val="0"/>
              <w:spacing w:line="36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2278" w:type="pct"/>
            <w:noWrap w:val="0"/>
            <w:vAlign w:val="center"/>
          </w:tcPr>
          <w:p w14:paraId="1F747466">
            <w:pPr>
              <w:autoSpaceDE w:val="0"/>
              <w:autoSpaceDN w:val="0"/>
              <w:adjustRightInd w:val="0"/>
              <w:spacing w:line="36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供应商基本情况表（格式1）</w:t>
            </w:r>
          </w:p>
        </w:tc>
        <w:tc>
          <w:tcPr>
            <w:tcW w:w="487" w:type="pct"/>
            <w:tcBorders>
              <w:top w:val="single" w:color="auto" w:sz="2" w:space="0"/>
            </w:tcBorders>
            <w:noWrap w:val="0"/>
            <w:vAlign w:val="center"/>
          </w:tcPr>
          <w:p w14:paraId="29EF07BF">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487" w:type="pct"/>
            <w:tcBorders>
              <w:top w:val="single" w:color="auto" w:sz="2" w:space="0"/>
            </w:tcBorders>
            <w:noWrap w:val="0"/>
            <w:vAlign w:val="center"/>
          </w:tcPr>
          <w:p w14:paraId="74E12432">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737" w:type="pct"/>
            <w:tcBorders>
              <w:top w:val="single" w:color="auto" w:sz="2" w:space="0"/>
            </w:tcBorders>
            <w:noWrap w:val="0"/>
            <w:vAlign w:val="center"/>
          </w:tcPr>
          <w:p w14:paraId="4106E48C">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366" w:type="pct"/>
            <w:tcBorders>
              <w:top w:val="single" w:color="auto" w:sz="2" w:space="0"/>
            </w:tcBorders>
            <w:noWrap w:val="0"/>
            <w:vAlign w:val="center"/>
          </w:tcPr>
          <w:p w14:paraId="07D0B023">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r>
      <w:tr w14:paraId="5EAC51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0" w:type="pct"/>
            <w:vMerge w:val="continue"/>
            <w:noWrap w:val="0"/>
            <w:vAlign w:val="center"/>
          </w:tcPr>
          <w:p w14:paraId="1D426868">
            <w:pPr>
              <w:autoSpaceDE w:val="0"/>
              <w:autoSpaceDN w:val="0"/>
              <w:adjustRightInd w:val="0"/>
              <w:spacing w:line="360" w:lineRule="atLeast"/>
              <w:jc w:val="center"/>
              <w:rPr>
                <w:rFonts w:hint="eastAsia" w:ascii="仿宋" w:hAnsi="仿宋" w:eastAsia="仿宋" w:cs="仿宋"/>
                <w:color w:val="auto"/>
                <w:sz w:val="24"/>
                <w:szCs w:val="24"/>
                <w:highlight w:val="none"/>
                <w:lang w:val="en-US" w:eastAsia="zh-CN"/>
              </w:rPr>
            </w:pPr>
          </w:p>
        </w:tc>
        <w:tc>
          <w:tcPr>
            <w:tcW w:w="232" w:type="pct"/>
            <w:tcBorders>
              <w:top w:val="single" w:color="auto" w:sz="2" w:space="0"/>
            </w:tcBorders>
            <w:noWrap w:val="0"/>
            <w:vAlign w:val="center"/>
          </w:tcPr>
          <w:p w14:paraId="13850AEB">
            <w:pPr>
              <w:numPr>
                <w:ilvl w:val="0"/>
                <w:numId w:val="0"/>
              </w:numPr>
              <w:autoSpaceDE w:val="0"/>
              <w:autoSpaceDN w:val="0"/>
              <w:adjustRightInd w:val="0"/>
              <w:spacing w:line="36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2278" w:type="pct"/>
            <w:noWrap w:val="0"/>
            <w:vAlign w:val="center"/>
          </w:tcPr>
          <w:p w14:paraId="0708E0C4">
            <w:pPr>
              <w:autoSpaceDE w:val="0"/>
              <w:autoSpaceDN w:val="0"/>
              <w:adjustRightInd w:val="0"/>
              <w:spacing w:line="36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采购需求反馈表</w:t>
            </w:r>
            <w:r>
              <w:rPr>
                <w:rFonts w:hint="eastAsia" w:ascii="仿宋" w:hAnsi="仿宋" w:eastAsia="仿宋" w:cs="仿宋"/>
                <w:color w:val="auto"/>
                <w:kern w:val="0"/>
                <w:sz w:val="24"/>
                <w:szCs w:val="24"/>
                <w:highlight w:val="none"/>
              </w:rPr>
              <w:t>（格式</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p>
        </w:tc>
        <w:tc>
          <w:tcPr>
            <w:tcW w:w="487" w:type="pct"/>
            <w:tcBorders>
              <w:top w:val="single" w:color="auto" w:sz="2" w:space="0"/>
            </w:tcBorders>
            <w:noWrap w:val="0"/>
            <w:vAlign w:val="center"/>
          </w:tcPr>
          <w:p w14:paraId="5D54A566">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487" w:type="pct"/>
            <w:tcBorders>
              <w:top w:val="single" w:color="auto" w:sz="2" w:space="0"/>
            </w:tcBorders>
            <w:noWrap w:val="0"/>
            <w:vAlign w:val="center"/>
          </w:tcPr>
          <w:p w14:paraId="3A2FA184">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737" w:type="pct"/>
            <w:tcBorders>
              <w:top w:val="single" w:color="auto" w:sz="2" w:space="0"/>
            </w:tcBorders>
            <w:noWrap w:val="0"/>
            <w:vAlign w:val="center"/>
          </w:tcPr>
          <w:p w14:paraId="53ED258C">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366" w:type="pct"/>
            <w:tcBorders>
              <w:top w:val="single" w:color="auto" w:sz="2" w:space="0"/>
            </w:tcBorders>
            <w:noWrap w:val="0"/>
            <w:vAlign w:val="center"/>
          </w:tcPr>
          <w:p w14:paraId="29D4AD4C">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r>
      <w:tr w14:paraId="44EC6C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0" w:type="pct"/>
            <w:vMerge w:val="continue"/>
            <w:noWrap w:val="0"/>
            <w:vAlign w:val="center"/>
          </w:tcPr>
          <w:p w14:paraId="50328F91">
            <w:pPr>
              <w:autoSpaceDE w:val="0"/>
              <w:autoSpaceDN w:val="0"/>
              <w:adjustRightInd w:val="0"/>
              <w:spacing w:line="360" w:lineRule="atLeast"/>
              <w:jc w:val="center"/>
              <w:rPr>
                <w:rFonts w:hint="eastAsia" w:ascii="仿宋" w:hAnsi="仿宋" w:eastAsia="仿宋" w:cs="仿宋"/>
                <w:color w:val="auto"/>
                <w:sz w:val="24"/>
                <w:szCs w:val="24"/>
                <w:highlight w:val="none"/>
                <w:lang w:val="en-US" w:eastAsia="zh-CN"/>
              </w:rPr>
            </w:pPr>
          </w:p>
        </w:tc>
        <w:tc>
          <w:tcPr>
            <w:tcW w:w="232" w:type="pct"/>
            <w:tcBorders>
              <w:top w:val="single" w:color="auto" w:sz="2" w:space="0"/>
            </w:tcBorders>
            <w:noWrap w:val="0"/>
            <w:vAlign w:val="center"/>
          </w:tcPr>
          <w:p w14:paraId="3BDC1218">
            <w:pPr>
              <w:numPr>
                <w:ilvl w:val="0"/>
                <w:numId w:val="0"/>
              </w:numPr>
              <w:autoSpaceDE w:val="0"/>
              <w:autoSpaceDN w:val="0"/>
              <w:adjustRightInd w:val="0"/>
              <w:spacing w:line="360" w:lineRule="atLeast"/>
              <w:ind w:left="0" w:lef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w:t>
            </w:r>
          </w:p>
        </w:tc>
        <w:tc>
          <w:tcPr>
            <w:tcW w:w="2278" w:type="pct"/>
            <w:noWrap w:val="0"/>
            <w:vAlign w:val="center"/>
          </w:tcPr>
          <w:p w14:paraId="568AB03B">
            <w:pPr>
              <w:autoSpaceDE w:val="0"/>
              <w:autoSpaceDN w:val="0"/>
              <w:adjustRightInd w:val="0"/>
              <w:spacing w:line="36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报价单</w:t>
            </w:r>
            <w:r>
              <w:rPr>
                <w:rFonts w:hint="eastAsia" w:ascii="仿宋" w:hAnsi="仿宋" w:eastAsia="仿宋" w:cs="仿宋"/>
                <w:color w:val="auto"/>
                <w:kern w:val="0"/>
                <w:sz w:val="24"/>
                <w:szCs w:val="24"/>
                <w:highlight w:val="none"/>
              </w:rPr>
              <w:t>（格式</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p>
        </w:tc>
        <w:tc>
          <w:tcPr>
            <w:tcW w:w="487" w:type="pct"/>
            <w:tcBorders>
              <w:top w:val="single" w:color="auto" w:sz="2" w:space="0"/>
            </w:tcBorders>
            <w:noWrap w:val="0"/>
            <w:vAlign w:val="center"/>
          </w:tcPr>
          <w:p w14:paraId="2B716F6A">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487" w:type="pct"/>
            <w:tcBorders>
              <w:top w:val="single" w:color="auto" w:sz="2" w:space="0"/>
            </w:tcBorders>
            <w:noWrap w:val="0"/>
            <w:vAlign w:val="center"/>
          </w:tcPr>
          <w:p w14:paraId="3F2FCF69">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737" w:type="pct"/>
            <w:tcBorders>
              <w:top w:val="single" w:color="auto" w:sz="2" w:space="0"/>
            </w:tcBorders>
            <w:noWrap w:val="0"/>
            <w:vAlign w:val="center"/>
          </w:tcPr>
          <w:p w14:paraId="5C842533">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366" w:type="pct"/>
            <w:tcBorders>
              <w:top w:val="single" w:color="auto" w:sz="2" w:space="0"/>
            </w:tcBorders>
            <w:noWrap w:val="0"/>
            <w:vAlign w:val="center"/>
          </w:tcPr>
          <w:p w14:paraId="1248E5E9">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r>
      <w:tr w14:paraId="55854D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0" w:type="pct"/>
            <w:vMerge w:val="continue"/>
            <w:noWrap w:val="0"/>
            <w:vAlign w:val="center"/>
          </w:tcPr>
          <w:p w14:paraId="00F9A74F">
            <w:pPr>
              <w:autoSpaceDE w:val="0"/>
              <w:autoSpaceDN w:val="0"/>
              <w:adjustRightInd w:val="0"/>
              <w:spacing w:line="360" w:lineRule="atLeast"/>
              <w:jc w:val="center"/>
              <w:rPr>
                <w:rFonts w:hint="eastAsia" w:ascii="仿宋" w:hAnsi="仿宋" w:eastAsia="仿宋" w:cs="仿宋"/>
                <w:color w:val="auto"/>
                <w:sz w:val="24"/>
                <w:szCs w:val="24"/>
                <w:highlight w:val="none"/>
                <w:lang w:val="en-US" w:eastAsia="zh-CN"/>
              </w:rPr>
            </w:pPr>
          </w:p>
        </w:tc>
        <w:tc>
          <w:tcPr>
            <w:tcW w:w="232" w:type="pct"/>
            <w:tcBorders>
              <w:top w:val="single" w:color="auto" w:sz="2" w:space="0"/>
            </w:tcBorders>
            <w:noWrap w:val="0"/>
            <w:vAlign w:val="center"/>
          </w:tcPr>
          <w:p w14:paraId="3043E6C7">
            <w:pPr>
              <w:numPr>
                <w:ilvl w:val="0"/>
                <w:numId w:val="0"/>
              </w:numPr>
              <w:autoSpaceDE w:val="0"/>
              <w:autoSpaceDN w:val="0"/>
              <w:adjustRightInd w:val="0"/>
              <w:spacing w:line="360" w:lineRule="atLeast"/>
              <w:ind w:left="0" w:lef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2278" w:type="pct"/>
            <w:noWrap w:val="0"/>
            <w:vAlign w:val="center"/>
          </w:tcPr>
          <w:p w14:paraId="34C49145">
            <w:pPr>
              <w:autoSpaceDE w:val="0"/>
              <w:autoSpaceDN w:val="0"/>
              <w:adjustRightInd w:val="0"/>
              <w:spacing w:line="36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类似项目业绩表</w:t>
            </w:r>
            <w:r>
              <w:rPr>
                <w:rFonts w:hint="eastAsia" w:ascii="仿宋" w:hAnsi="仿宋" w:eastAsia="仿宋" w:cs="仿宋"/>
                <w:color w:val="auto"/>
                <w:kern w:val="0"/>
                <w:sz w:val="24"/>
                <w:szCs w:val="24"/>
                <w:highlight w:val="none"/>
              </w:rPr>
              <w:t>（格式</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p>
        </w:tc>
        <w:tc>
          <w:tcPr>
            <w:tcW w:w="487" w:type="pct"/>
            <w:tcBorders>
              <w:top w:val="single" w:color="auto" w:sz="2" w:space="0"/>
            </w:tcBorders>
            <w:noWrap w:val="0"/>
            <w:vAlign w:val="center"/>
          </w:tcPr>
          <w:p w14:paraId="3A7D6CFD">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487" w:type="pct"/>
            <w:tcBorders>
              <w:top w:val="single" w:color="auto" w:sz="2" w:space="0"/>
            </w:tcBorders>
            <w:noWrap w:val="0"/>
            <w:vAlign w:val="center"/>
          </w:tcPr>
          <w:p w14:paraId="6BFF683B">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737" w:type="pct"/>
            <w:tcBorders>
              <w:top w:val="single" w:color="auto" w:sz="2" w:space="0"/>
            </w:tcBorders>
            <w:noWrap w:val="0"/>
            <w:vAlign w:val="center"/>
          </w:tcPr>
          <w:p w14:paraId="36D5150E">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366" w:type="pct"/>
            <w:tcBorders>
              <w:top w:val="single" w:color="auto" w:sz="2" w:space="0"/>
            </w:tcBorders>
            <w:noWrap w:val="0"/>
            <w:vAlign w:val="center"/>
          </w:tcPr>
          <w:p w14:paraId="11965E0C">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r>
      <w:tr w14:paraId="65FA66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0" w:type="pct"/>
            <w:vMerge w:val="continue"/>
            <w:noWrap w:val="0"/>
            <w:vAlign w:val="center"/>
          </w:tcPr>
          <w:p w14:paraId="7778EB4C">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c>
          <w:tcPr>
            <w:tcW w:w="232" w:type="pct"/>
            <w:noWrap w:val="0"/>
            <w:vAlign w:val="center"/>
          </w:tcPr>
          <w:p w14:paraId="133E7B25">
            <w:pPr>
              <w:numPr>
                <w:ilvl w:val="0"/>
                <w:numId w:val="0"/>
              </w:numPr>
              <w:autoSpaceDE w:val="0"/>
              <w:autoSpaceDN w:val="0"/>
              <w:adjustRightInd w:val="0"/>
              <w:spacing w:line="36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2278" w:type="pct"/>
            <w:noWrap w:val="0"/>
            <w:vAlign w:val="center"/>
          </w:tcPr>
          <w:p w14:paraId="26D76360">
            <w:pPr>
              <w:autoSpaceDE w:val="0"/>
              <w:autoSpaceDN w:val="0"/>
              <w:adjustRightInd w:val="0"/>
              <w:spacing w:line="36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其它文件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tc>
        <w:tc>
          <w:tcPr>
            <w:tcW w:w="487" w:type="pct"/>
            <w:noWrap w:val="0"/>
            <w:vAlign w:val="center"/>
          </w:tcPr>
          <w:p w14:paraId="42EB6352">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487" w:type="pct"/>
            <w:noWrap w:val="0"/>
            <w:vAlign w:val="center"/>
          </w:tcPr>
          <w:p w14:paraId="364DDEFB">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737" w:type="pct"/>
            <w:noWrap w:val="0"/>
            <w:vAlign w:val="center"/>
          </w:tcPr>
          <w:p w14:paraId="0B3E0AB3">
            <w:pPr>
              <w:autoSpaceDE w:val="0"/>
              <w:autoSpaceDN w:val="0"/>
              <w:adjustRightInd w:val="0"/>
              <w:spacing w:line="360" w:lineRule="atLeast"/>
              <w:ind w:left="630" w:leftChars="0"/>
              <w:jc w:val="center"/>
              <w:rPr>
                <w:rFonts w:hint="eastAsia" w:ascii="仿宋" w:hAnsi="仿宋" w:eastAsia="仿宋" w:cs="仿宋"/>
                <w:color w:val="auto"/>
                <w:kern w:val="0"/>
                <w:sz w:val="24"/>
                <w:szCs w:val="24"/>
                <w:highlight w:val="none"/>
                <w:lang w:val="en-US" w:eastAsia="zh-CN" w:bidi="ar-SA"/>
              </w:rPr>
            </w:pPr>
          </w:p>
        </w:tc>
        <w:tc>
          <w:tcPr>
            <w:tcW w:w="366" w:type="pct"/>
            <w:noWrap w:val="0"/>
            <w:vAlign w:val="center"/>
          </w:tcPr>
          <w:p w14:paraId="1F960456">
            <w:pPr>
              <w:autoSpaceDE w:val="0"/>
              <w:autoSpaceDN w:val="0"/>
              <w:adjustRightInd w:val="0"/>
              <w:spacing w:line="360" w:lineRule="atLeast"/>
              <w:ind w:left="630"/>
              <w:jc w:val="center"/>
              <w:rPr>
                <w:rFonts w:hint="eastAsia" w:ascii="仿宋" w:hAnsi="仿宋" w:eastAsia="仿宋" w:cs="仿宋"/>
                <w:color w:val="auto"/>
                <w:kern w:val="0"/>
                <w:sz w:val="24"/>
                <w:szCs w:val="24"/>
                <w:highlight w:val="none"/>
              </w:rPr>
            </w:pPr>
          </w:p>
        </w:tc>
      </w:tr>
    </w:tbl>
    <w:p w14:paraId="5EA5FD9D">
      <w:pPr>
        <w:spacing w:line="48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120F6B16">
      <w:pPr>
        <w:numPr>
          <w:ilvl w:val="0"/>
          <w:numId w:val="1"/>
        </w:numPr>
        <w:spacing w:line="48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认为有必要提交的其他文件可自行增加表格栏目，以上</w:t>
      </w:r>
      <w:r>
        <w:rPr>
          <w:rFonts w:hint="eastAsia" w:ascii="仿宋" w:hAnsi="仿宋" w:eastAsia="仿宋" w:cs="仿宋"/>
          <w:color w:val="auto"/>
          <w:sz w:val="24"/>
          <w:szCs w:val="24"/>
          <w:highlight w:val="none"/>
          <w:lang w:val="en-US" w:eastAsia="zh-CN"/>
        </w:rPr>
        <w:t>调查资料</w:t>
      </w:r>
      <w:r>
        <w:rPr>
          <w:rFonts w:hint="eastAsia" w:ascii="仿宋" w:hAnsi="仿宋" w:eastAsia="仿宋" w:cs="仿宋"/>
          <w:color w:val="auto"/>
          <w:sz w:val="24"/>
          <w:szCs w:val="24"/>
          <w:highlight w:val="none"/>
        </w:rPr>
        <w:t>提交时必须严格按照《</w:t>
      </w:r>
      <w:r>
        <w:rPr>
          <w:rFonts w:hint="eastAsia" w:ascii="仿宋" w:hAnsi="仿宋" w:eastAsia="仿宋" w:cs="仿宋"/>
          <w:color w:val="auto"/>
          <w:sz w:val="24"/>
          <w:szCs w:val="24"/>
          <w:highlight w:val="none"/>
          <w:lang w:eastAsia="zh-CN"/>
        </w:rPr>
        <w:t>调查</w:t>
      </w:r>
      <w:r>
        <w:rPr>
          <w:rFonts w:hint="eastAsia" w:ascii="仿宋" w:hAnsi="仿宋" w:eastAsia="仿宋" w:cs="仿宋"/>
          <w:color w:val="auto"/>
          <w:sz w:val="24"/>
          <w:szCs w:val="24"/>
          <w:highlight w:val="none"/>
        </w:rPr>
        <w:t>资料目录表》的排列顺序。</w:t>
      </w:r>
    </w:p>
    <w:p w14:paraId="2BB51313">
      <w:pPr>
        <w:numPr>
          <w:ilvl w:val="0"/>
          <w:numId w:val="1"/>
        </w:numPr>
        <w:spacing w:line="480" w:lineRule="auto"/>
        <w:ind w:firstLine="120" w:firstLineChars="50"/>
        <w:rPr>
          <w:rFonts w:hint="eastAsia" w:ascii="仿宋" w:hAnsi="仿宋" w:eastAsia="仿宋" w:cs="仿宋"/>
          <w:bCs w:val="0"/>
          <w:color w:val="auto"/>
          <w:spacing w:val="0"/>
          <w:kern w:val="2"/>
          <w:sz w:val="24"/>
          <w:szCs w:val="24"/>
          <w:highlight w:val="none"/>
        </w:rPr>
      </w:pPr>
      <w:r>
        <w:rPr>
          <w:rFonts w:hint="eastAsia" w:ascii="仿宋" w:hAnsi="仿宋" w:eastAsia="仿宋" w:cs="仿宋"/>
          <w:color w:val="auto"/>
          <w:sz w:val="24"/>
          <w:szCs w:val="24"/>
          <w:highlight w:val="none"/>
          <w:lang w:val="en-US" w:eastAsia="zh-CN"/>
        </w:rPr>
        <w:t>调查资料提供盖章电子版及可编辑word文件</w:t>
      </w:r>
      <w:r>
        <w:rPr>
          <w:rFonts w:hint="eastAsia" w:ascii="仿宋" w:hAnsi="仿宋" w:eastAsia="仿宋" w:cs="仿宋"/>
          <w:bCs w:val="0"/>
          <w:color w:val="auto"/>
          <w:spacing w:val="0"/>
          <w:kern w:val="2"/>
          <w:sz w:val="24"/>
          <w:szCs w:val="24"/>
          <w:highlight w:val="none"/>
        </w:rPr>
        <w:t>。</w:t>
      </w:r>
    </w:p>
    <w:p w14:paraId="6B3F2148">
      <w:pPr>
        <w:pStyle w:val="4"/>
        <w:numPr>
          <w:ilvl w:val="0"/>
          <w:numId w:val="0"/>
        </w:numPr>
        <w:rPr>
          <w:rFonts w:hint="eastAsia" w:ascii="仿宋" w:hAnsi="仿宋" w:eastAsia="仿宋" w:cs="仿宋"/>
          <w:color w:val="auto"/>
          <w:highlight w:val="none"/>
        </w:rPr>
      </w:pPr>
    </w:p>
    <w:p w14:paraId="15527ABA">
      <w:pPr>
        <w:rPr>
          <w:rFonts w:hint="eastAsia" w:ascii="仿宋" w:hAnsi="仿宋" w:eastAsia="仿宋" w:cs="仿宋"/>
          <w:b/>
          <w:bCs/>
          <w:color w:val="auto"/>
          <w:highlight w:val="none"/>
        </w:rPr>
      </w:pPr>
      <w:r>
        <w:rPr>
          <w:rFonts w:hint="eastAsia" w:ascii="仿宋" w:hAnsi="仿宋" w:eastAsia="仿宋" w:cs="仿宋"/>
          <w:b/>
          <w:color w:val="auto"/>
          <w:sz w:val="30"/>
          <w:szCs w:val="30"/>
          <w:highlight w:val="none"/>
        </w:rPr>
        <w:br w:type="page"/>
      </w:r>
      <w:bookmarkStart w:id="0" w:name="_Toc50736473"/>
      <w:bookmarkStart w:id="1" w:name="_Toc76354921"/>
      <w:bookmarkStart w:id="2" w:name="_Toc50737331"/>
      <w:bookmarkStart w:id="3" w:name="_Toc50737293"/>
      <w:bookmarkStart w:id="4" w:name="_Toc76354927"/>
      <w:bookmarkStart w:id="5" w:name="_Toc50737325"/>
      <w:bookmarkStart w:id="6" w:name="_Toc50736479"/>
      <w:bookmarkStart w:id="7" w:name="_Toc50691040"/>
      <w:bookmarkStart w:id="8" w:name="_Toc50737299"/>
      <w:bookmarkStart w:id="9" w:name="_Toc52165077"/>
      <w:bookmarkStart w:id="10" w:name="_Toc50691028"/>
      <w:bookmarkStart w:id="11" w:name="_Toc52165083"/>
    </w:p>
    <w:p w14:paraId="3F5F37BA">
      <w:pPr>
        <w:pStyle w:val="5"/>
        <w:numPr>
          <w:ilvl w:val="0"/>
          <w:numId w:val="2"/>
        </w:numPr>
        <w:spacing w:line="360" w:lineRule="auto"/>
        <w:outlineLvl w:val="1"/>
        <w:rPr>
          <w:rFonts w:hint="eastAsia" w:ascii="仿宋" w:hAnsi="仿宋" w:eastAsia="仿宋" w:cs="仿宋"/>
          <w:b/>
          <w:bCs/>
          <w:color w:val="auto"/>
          <w:highlight w:val="none"/>
        </w:rPr>
      </w:pPr>
      <w:r>
        <w:rPr>
          <w:rFonts w:hint="eastAsia" w:ascii="仿宋" w:hAnsi="仿宋" w:eastAsia="仿宋" w:cs="仿宋"/>
          <w:b/>
          <w:bCs/>
          <w:color w:val="auto"/>
          <w:highlight w:val="none"/>
        </w:rPr>
        <w:t>供应商基本情况表</w:t>
      </w:r>
    </w:p>
    <w:p w14:paraId="5BA64903">
      <w:pPr>
        <w:pStyle w:val="5"/>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供应商基本情况表</w:t>
      </w:r>
    </w:p>
    <w:tbl>
      <w:tblPr>
        <w:tblStyle w:val="13"/>
        <w:tblW w:w="9639" w:type="dxa"/>
        <w:tblInd w:w="0" w:type="dxa"/>
        <w:tblLayout w:type="fixed"/>
        <w:tblCellMar>
          <w:top w:w="0" w:type="dxa"/>
          <w:left w:w="108" w:type="dxa"/>
          <w:bottom w:w="0" w:type="dxa"/>
          <w:right w:w="108" w:type="dxa"/>
        </w:tblCellMar>
      </w:tblPr>
      <w:tblGrid>
        <w:gridCol w:w="1394"/>
        <w:gridCol w:w="1142"/>
        <w:gridCol w:w="768"/>
        <w:gridCol w:w="20"/>
        <w:gridCol w:w="640"/>
        <w:gridCol w:w="1020"/>
        <w:gridCol w:w="5"/>
        <w:gridCol w:w="1145"/>
        <w:gridCol w:w="475"/>
        <w:gridCol w:w="22"/>
        <w:gridCol w:w="1109"/>
        <w:gridCol w:w="39"/>
        <w:gridCol w:w="1860"/>
      </w:tblGrid>
      <w:tr w14:paraId="15980955">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vAlign w:val="center"/>
          </w:tcPr>
          <w:p w14:paraId="2B247938">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8245" w:type="dxa"/>
            <w:gridSpan w:val="12"/>
            <w:tcBorders>
              <w:top w:val="single" w:color="auto" w:sz="12" w:space="0"/>
              <w:left w:val="single" w:color="auto" w:sz="6" w:space="0"/>
              <w:bottom w:val="single" w:color="auto" w:sz="6" w:space="0"/>
              <w:right w:val="single" w:color="auto" w:sz="12" w:space="0"/>
            </w:tcBorders>
            <w:vAlign w:val="center"/>
          </w:tcPr>
          <w:p w14:paraId="0019F370">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22F5B08B">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vAlign w:val="center"/>
          </w:tcPr>
          <w:p w14:paraId="616895D5">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w:t>
            </w:r>
          </w:p>
        </w:tc>
        <w:tc>
          <w:tcPr>
            <w:tcW w:w="8245" w:type="dxa"/>
            <w:gridSpan w:val="12"/>
            <w:tcBorders>
              <w:top w:val="single" w:color="auto" w:sz="4" w:space="0"/>
              <w:left w:val="single" w:color="auto" w:sz="6" w:space="0"/>
              <w:bottom w:val="single" w:color="auto" w:sz="6" w:space="0"/>
              <w:right w:val="single" w:color="auto" w:sz="12" w:space="0"/>
            </w:tcBorders>
            <w:vAlign w:val="center"/>
          </w:tcPr>
          <w:p w14:paraId="2BB2D6E1">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3604BDB2">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vAlign w:val="center"/>
          </w:tcPr>
          <w:p w14:paraId="70BFCD2B">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8245" w:type="dxa"/>
            <w:gridSpan w:val="12"/>
            <w:tcBorders>
              <w:top w:val="single" w:color="auto" w:sz="6" w:space="0"/>
              <w:left w:val="single" w:color="auto" w:sz="6" w:space="0"/>
              <w:bottom w:val="single" w:color="auto" w:sz="6" w:space="0"/>
              <w:right w:val="single" w:color="auto" w:sz="12" w:space="0"/>
            </w:tcBorders>
            <w:vAlign w:val="center"/>
          </w:tcPr>
          <w:p w14:paraId="3C12C24C">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7F563EA9">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vAlign w:val="center"/>
          </w:tcPr>
          <w:p w14:paraId="189F7CF3">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w:t>
            </w:r>
          </w:p>
        </w:tc>
        <w:tc>
          <w:tcPr>
            <w:tcW w:w="3590" w:type="dxa"/>
            <w:gridSpan w:val="5"/>
            <w:tcBorders>
              <w:top w:val="single" w:color="auto" w:sz="6" w:space="0"/>
              <w:left w:val="single" w:color="auto" w:sz="6" w:space="0"/>
              <w:bottom w:val="single" w:color="auto" w:sz="6" w:space="0"/>
              <w:right w:val="single" w:color="auto" w:sz="6" w:space="0"/>
            </w:tcBorders>
            <w:vAlign w:val="center"/>
          </w:tcPr>
          <w:p w14:paraId="1DCFE8DA">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1647" w:type="dxa"/>
            <w:gridSpan w:val="4"/>
            <w:tcBorders>
              <w:top w:val="single" w:color="auto" w:sz="6" w:space="0"/>
              <w:left w:val="single" w:color="auto" w:sz="6" w:space="0"/>
              <w:bottom w:val="single" w:color="auto" w:sz="6" w:space="0"/>
              <w:right w:val="single" w:color="auto" w:sz="6" w:space="0"/>
            </w:tcBorders>
            <w:vAlign w:val="center"/>
          </w:tcPr>
          <w:p w14:paraId="202ABEED">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3008" w:type="dxa"/>
            <w:gridSpan w:val="3"/>
            <w:tcBorders>
              <w:top w:val="single" w:color="auto" w:sz="6" w:space="0"/>
              <w:left w:val="single" w:color="auto" w:sz="6" w:space="0"/>
              <w:bottom w:val="single" w:color="auto" w:sz="6" w:space="0"/>
              <w:right w:val="single" w:color="auto" w:sz="12" w:space="0"/>
            </w:tcBorders>
            <w:vAlign w:val="center"/>
          </w:tcPr>
          <w:p w14:paraId="60B92DAE">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64760B11">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vAlign w:val="center"/>
          </w:tcPr>
          <w:p w14:paraId="14688DB9">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w:t>
            </w:r>
          </w:p>
        </w:tc>
        <w:tc>
          <w:tcPr>
            <w:tcW w:w="3590" w:type="dxa"/>
            <w:gridSpan w:val="5"/>
            <w:tcBorders>
              <w:top w:val="single" w:color="auto" w:sz="6" w:space="0"/>
              <w:left w:val="single" w:color="auto" w:sz="6" w:space="0"/>
              <w:bottom w:val="single" w:color="auto" w:sz="6" w:space="0"/>
              <w:right w:val="single" w:color="auto" w:sz="6" w:space="0"/>
            </w:tcBorders>
            <w:vAlign w:val="center"/>
          </w:tcPr>
          <w:p w14:paraId="0FA10392">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1647" w:type="dxa"/>
            <w:gridSpan w:val="4"/>
            <w:tcBorders>
              <w:top w:val="single" w:color="auto" w:sz="6" w:space="0"/>
              <w:left w:val="single" w:color="auto" w:sz="6" w:space="0"/>
              <w:bottom w:val="single" w:color="auto" w:sz="6" w:space="0"/>
              <w:right w:val="single" w:color="auto" w:sz="6" w:space="0"/>
            </w:tcBorders>
            <w:vAlign w:val="center"/>
          </w:tcPr>
          <w:p w14:paraId="0A1FE7CC">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3008" w:type="dxa"/>
            <w:gridSpan w:val="3"/>
            <w:tcBorders>
              <w:top w:val="single" w:color="auto" w:sz="6" w:space="0"/>
              <w:left w:val="single" w:color="auto" w:sz="6" w:space="0"/>
              <w:bottom w:val="single" w:color="auto" w:sz="6" w:space="0"/>
              <w:right w:val="single" w:color="auto" w:sz="12" w:space="0"/>
            </w:tcBorders>
            <w:vAlign w:val="center"/>
          </w:tcPr>
          <w:p w14:paraId="4C8ED930">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1058FF00">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vAlign w:val="center"/>
          </w:tcPr>
          <w:p w14:paraId="0CC9EE8D">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邮编</w:t>
            </w:r>
          </w:p>
        </w:tc>
        <w:tc>
          <w:tcPr>
            <w:tcW w:w="1910" w:type="dxa"/>
            <w:gridSpan w:val="2"/>
            <w:tcBorders>
              <w:top w:val="single" w:color="auto" w:sz="6" w:space="0"/>
              <w:left w:val="single" w:color="auto" w:sz="6" w:space="0"/>
              <w:bottom w:val="single" w:color="auto" w:sz="6" w:space="0"/>
              <w:right w:val="single" w:color="auto" w:sz="6" w:space="0"/>
            </w:tcBorders>
            <w:vAlign w:val="center"/>
          </w:tcPr>
          <w:p w14:paraId="417F32A4">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1680" w:type="dxa"/>
            <w:gridSpan w:val="3"/>
            <w:tcBorders>
              <w:top w:val="single" w:color="auto" w:sz="6" w:space="0"/>
              <w:left w:val="single" w:color="auto" w:sz="6" w:space="0"/>
              <w:bottom w:val="single" w:color="auto" w:sz="6" w:space="0"/>
              <w:right w:val="single" w:color="auto" w:sz="6" w:space="0"/>
            </w:tcBorders>
            <w:vAlign w:val="center"/>
          </w:tcPr>
          <w:p w14:paraId="055640BC">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647" w:type="dxa"/>
            <w:gridSpan w:val="4"/>
            <w:tcBorders>
              <w:top w:val="single" w:color="auto" w:sz="6" w:space="0"/>
              <w:left w:val="single" w:color="auto" w:sz="6" w:space="0"/>
              <w:bottom w:val="single" w:color="auto" w:sz="6" w:space="0"/>
              <w:right w:val="single" w:color="auto" w:sz="6" w:space="0"/>
            </w:tcBorders>
            <w:vAlign w:val="center"/>
          </w:tcPr>
          <w:p w14:paraId="24F85E3B">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1109" w:type="dxa"/>
            <w:tcBorders>
              <w:top w:val="single" w:color="auto" w:sz="6" w:space="0"/>
              <w:left w:val="single" w:color="auto" w:sz="6" w:space="0"/>
              <w:bottom w:val="single" w:color="auto" w:sz="6" w:space="0"/>
              <w:right w:val="single" w:color="auto" w:sz="6" w:space="0"/>
            </w:tcBorders>
            <w:vAlign w:val="center"/>
          </w:tcPr>
          <w:p w14:paraId="74C3FB65">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1899" w:type="dxa"/>
            <w:gridSpan w:val="2"/>
            <w:tcBorders>
              <w:top w:val="single" w:color="auto" w:sz="6" w:space="0"/>
              <w:left w:val="single" w:color="auto" w:sz="6" w:space="0"/>
              <w:bottom w:val="single" w:color="auto" w:sz="6" w:space="0"/>
              <w:right w:val="single" w:color="auto" w:sz="12" w:space="0"/>
            </w:tcBorders>
          </w:tcPr>
          <w:p w14:paraId="212835B4">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48A5085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vAlign w:val="center"/>
          </w:tcPr>
          <w:p w14:paraId="40906085">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是否中小微企业</w:t>
            </w:r>
          </w:p>
        </w:tc>
        <w:tc>
          <w:tcPr>
            <w:tcW w:w="8245" w:type="dxa"/>
            <w:gridSpan w:val="12"/>
            <w:tcBorders>
              <w:top w:val="single" w:color="auto" w:sz="6" w:space="0"/>
              <w:left w:val="single" w:color="auto" w:sz="6" w:space="0"/>
              <w:bottom w:val="single" w:color="auto" w:sz="6" w:space="0"/>
              <w:right w:val="single" w:color="auto" w:sz="12" w:space="0"/>
            </w:tcBorders>
            <w:vAlign w:val="center"/>
          </w:tcPr>
          <w:p w14:paraId="12AB85DC">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sym w:font="Wingdings" w:char="00A8"/>
            </w:r>
            <w:r>
              <w:rPr>
                <w:rFonts w:hint="eastAsia" w:ascii="仿宋" w:hAnsi="仿宋" w:eastAsia="仿宋" w:cs="仿宋"/>
                <w:color w:val="auto"/>
                <w:sz w:val="24"/>
                <w:highlight w:val="none"/>
                <w:lang w:val="en-US" w:eastAsia="zh-CN"/>
              </w:rPr>
              <w:t xml:space="preserve">大型企业  </w:t>
            </w:r>
            <w:r>
              <w:rPr>
                <w:rFonts w:hint="eastAsia" w:ascii="仿宋" w:hAnsi="仿宋" w:eastAsia="仿宋" w:cs="仿宋"/>
                <w:color w:val="auto"/>
                <w:sz w:val="24"/>
                <w:highlight w:val="none"/>
                <w:lang w:val="en-US" w:eastAsia="zh-CN"/>
              </w:rPr>
              <w:sym w:font="Wingdings" w:char="00A8"/>
            </w:r>
            <w:r>
              <w:rPr>
                <w:rFonts w:hint="eastAsia" w:ascii="仿宋" w:hAnsi="仿宋" w:eastAsia="仿宋" w:cs="仿宋"/>
                <w:color w:val="auto"/>
                <w:sz w:val="24"/>
                <w:highlight w:val="none"/>
                <w:lang w:val="en-US" w:eastAsia="zh-CN"/>
              </w:rPr>
              <w:t xml:space="preserve">中型企业  </w:t>
            </w:r>
            <w:r>
              <w:rPr>
                <w:rFonts w:hint="eastAsia" w:ascii="仿宋" w:hAnsi="仿宋" w:eastAsia="仿宋" w:cs="仿宋"/>
                <w:color w:val="auto"/>
                <w:sz w:val="24"/>
                <w:highlight w:val="none"/>
                <w:lang w:val="en-US" w:eastAsia="zh-CN"/>
              </w:rPr>
              <w:sym w:font="Wingdings" w:char="00A8"/>
            </w:r>
            <w:r>
              <w:rPr>
                <w:rFonts w:hint="eastAsia" w:ascii="仿宋" w:hAnsi="仿宋" w:eastAsia="仿宋" w:cs="仿宋"/>
                <w:color w:val="auto"/>
                <w:sz w:val="24"/>
                <w:highlight w:val="none"/>
                <w:lang w:val="en-US" w:eastAsia="zh-CN"/>
              </w:rPr>
              <w:t xml:space="preserve">小型企业  </w:t>
            </w:r>
            <w:r>
              <w:rPr>
                <w:rFonts w:hint="eastAsia" w:ascii="仿宋" w:hAnsi="仿宋" w:eastAsia="仿宋" w:cs="仿宋"/>
                <w:color w:val="auto"/>
                <w:sz w:val="24"/>
                <w:highlight w:val="none"/>
                <w:lang w:val="en-US" w:eastAsia="zh-CN"/>
              </w:rPr>
              <w:sym w:font="Wingdings" w:char="00A8"/>
            </w:r>
            <w:r>
              <w:rPr>
                <w:rFonts w:hint="eastAsia" w:ascii="仿宋" w:hAnsi="仿宋" w:eastAsia="仿宋" w:cs="仿宋"/>
                <w:color w:val="auto"/>
                <w:sz w:val="24"/>
                <w:highlight w:val="none"/>
                <w:lang w:val="en-US" w:eastAsia="zh-CN"/>
              </w:rPr>
              <w:t>微型企业</w:t>
            </w:r>
          </w:p>
        </w:tc>
      </w:tr>
      <w:tr w14:paraId="58C1FBB2">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vAlign w:val="center"/>
          </w:tcPr>
          <w:p w14:paraId="572EB826">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从业人员</w:t>
            </w:r>
          </w:p>
          <w:p w14:paraId="4A556260">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p>
        </w:tc>
        <w:tc>
          <w:tcPr>
            <w:tcW w:w="1930" w:type="dxa"/>
            <w:gridSpan w:val="3"/>
            <w:tcBorders>
              <w:top w:val="single" w:color="auto" w:sz="6" w:space="0"/>
              <w:left w:val="single" w:color="auto" w:sz="6" w:space="0"/>
              <w:bottom w:val="single" w:color="auto" w:sz="6" w:space="0"/>
              <w:right w:val="single" w:color="auto" w:sz="4" w:space="0"/>
            </w:tcBorders>
            <w:vAlign w:val="center"/>
          </w:tcPr>
          <w:p w14:paraId="5FA940D2">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p>
        </w:tc>
        <w:tc>
          <w:tcPr>
            <w:tcW w:w="1665" w:type="dxa"/>
            <w:gridSpan w:val="3"/>
            <w:tcBorders>
              <w:top w:val="single" w:color="auto" w:sz="6" w:space="0"/>
              <w:left w:val="single" w:color="auto" w:sz="4" w:space="0"/>
              <w:bottom w:val="single" w:color="auto" w:sz="6" w:space="0"/>
              <w:right w:val="single" w:color="auto" w:sz="4" w:space="0"/>
            </w:tcBorders>
            <w:vAlign w:val="center"/>
          </w:tcPr>
          <w:p w14:paraId="5ACE8842">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营业收入</w:t>
            </w:r>
          </w:p>
        </w:tc>
        <w:tc>
          <w:tcPr>
            <w:tcW w:w="1620" w:type="dxa"/>
            <w:gridSpan w:val="2"/>
            <w:tcBorders>
              <w:top w:val="single" w:color="auto" w:sz="6" w:space="0"/>
              <w:left w:val="single" w:color="auto" w:sz="4" w:space="0"/>
              <w:bottom w:val="single" w:color="auto" w:sz="6" w:space="0"/>
              <w:right w:val="single" w:color="auto" w:sz="4" w:space="0"/>
            </w:tcBorders>
            <w:vAlign w:val="center"/>
          </w:tcPr>
          <w:p w14:paraId="41FBCECA">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4BF6099A">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资产总额</w:t>
            </w:r>
          </w:p>
        </w:tc>
        <w:tc>
          <w:tcPr>
            <w:tcW w:w="1860" w:type="dxa"/>
            <w:tcBorders>
              <w:top w:val="single" w:color="auto" w:sz="6" w:space="0"/>
              <w:left w:val="single" w:color="auto" w:sz="4" w:space="0"/>
              <w:bottom w:val="single" w:color="auto" w:sz="6" w:space="0"/>
              <w:right w:val="single" w:color="auto" w:sz="12" w:space="0"/>
            </w:tcBorders>
            <w:vAlign w:val="center"/>
          </w:tcPr>
          <w:p w14:paraId="30D5137B">
            <w:pPr>
              <w:tabs>
                <w:tab w:val="left" w:pos="540"/>
              </w:tabs>
              <w:spacing w:line="400" w:lineRule="exact"/>
              <w:ind w:left="-132" w:leftChars="-64" w:right="-105" w:rightChars="-50" w:hanging="2"/>
              <w:jc w:val="center"/>
              <w:rPr>
                <w:rFonts w:hint="eastAsia" w:ascii="仿宋" w:hAnsi="仿宋" w:eastAsia="仿宋" w:cs="仿宋"/>
                <w:color w:val="auto"/>
                <w:sz w:val="24"/>
                <w:highlight w:val="none"/>
                <w:lang w:val="en-US" w:eastAsia="zh-CN"/>
              </w:rPr>
            </w:pPr>
          </w:p>
        </w:tc>
      </w:tr>
      <w:tr w14:paraId="6990DE8A">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vAlign w:val="center"/>
          </w:tcPr>
          <w:p w14:paraId="04E20293">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证书情况</w:t>
            </w:r>
          </w:p>
        </w:tc>
        <w:tc>
          <w:tcPr>
            <w:tcW w:w="1142" w:type="dxa"/>
            <w:tcBorders>
              <w:top w:val="single" w:color="auto" w:sz="6" w:space="0"/>
              <w:left w:val="single" w:color="auto" w:sz="6" w:space="0"/>
              <w:bottom w:val="single" w:color="auto" w:sz="6" w:space="0"/>
              <w:right w:val="single" w:color="auto" w:sz="6" w:space="0"/>
            </w:tcBorders>
            <w:vAlign w:val="center"/>
          </w:tcPr>
          <w:p w14:paraId="4E894A50">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1428" w:type="dxa"/>
            <w:gridSpan w:val="3"/>
            <w:tcBorders>
              <w:top w:val="single" w:color="auto" w:sz="6" w:space="0"/>
              <w:left w:val="single" w:color="auto" w:sz="6" w:space="0"/>
              <w:bottom w:val="single" w:color="auto" w:sz="6" w:space="0"/>
              <w:right w:val="single" w:color="auto" w:sz="6" w:space="0"/>
            </w:tcBorders>
            <w:vAlign w:val="center"/>
          </w:tcPr>
          <w:p w14:paraId="26DE809E">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证书等级</w:t>
            </w:r>
          </w:p>
        </w:tc>
        <w:tc>
          <w:tcPr>
            <w:tcW w:w="2170" w:type="dxa"/>
            <w:gridSpan w:val="3"/>
            <w:tcBorders>
              <w:top w:val="single" w:color="auto" w:sz="6" w:space="0"/>
              <w:left w:val="single" w:color="auto" w:sz="6" w:space="0"/>
              <w:bottom w:val="single" w:color="auto" w:sz="6" w:space="0"/>
              <w:right w:val="single" w:color="auto" w:sz="6" w:space="0"/>
            </w:tcBorders>
            <w:vAlign w:val="center"/>
          </w:tcPr>
          <w:p w14:paraId="41BDE33C">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发证单位</w:t>
            </w:r>
          </w:p>
        </w:tc>
        <w:tc>
          <w:tcPr>
            <w:tcW w:w="3505" w:type="dxa"/>
            <w:gridSpan w:val="5"/>
            <w:tcBorders>
              <w:top w:val="single" w:color="auto" w:sz="6" w:space="0"/>
              <w:left w:val="single" w:color="auto" w:sz="6" w:space="0"/>
              <w:bottom w:val="single" w:color="auto" w:sz="6" w:space="0"/>
              <w:right w:val="single" w:color="auto" w:sz="12" w:space="0"/>
            </w:tcBorders>
            <w:vAlign w:val="center"/>
          </w:tcPr>
          <w:p w14:paraId="340162BB">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证书有效期</w:t>
            </w:r>
          </w:p>
        </w:tc>
      </w:tr>
      <w:tr w14:paraId="4F193D17">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vAlign w:val="center"/>
          </w:tcPr>
          <w:p w14:paraId="56BCEDAC">
            <w:pPr>
              <w:spacing w:line="400" w:lineRule="exact"/>
              <w:jc w:val="center"/>
              <w:rPr>
                <w:rFonts w:hint="eastAsia" w:ascii="仿宋" w:hAnsi="仿宋" w:eastAsia="仿宋" w:cs="仿宋"/>
                <w:color w:val="auto"/>
                <w:sz w:val="24"/>
                <w:highlight w:val="none"/>
              </w:rPr>
            </w:pPr>
          </w:p>
        </w:tc>
        <w:tc>
          <w:tcPr>
            <w:tcW w:w="1142" w:type="dxa"/>
            <w:tcBorders>
              <w:top w:val="single" w:color="auto" w:sz="6" w:space="0"/>
              <w:left w:val="single" w:color="auto" w:sz="6" w:space="0"/>
              <w:bottom w:val="single" w:color="auto" w:sz="6" w:space="0"/>
              <w:right w:val="single" w:color="auto" w:sz="6" w:space="0"/>
            </w:tcBorders>
            <w:vAlign w:val="center"/>
          </w:tcPr>
          <w:p w14:paraId="3386B7B4">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1428" w:type="dxa"/>
            <w:gridSpan w:val="3"/>
            <w:tcBorders>
              <w:top w:val="single" w:color="auto" w:sz="6" w:space="0"/>
              <w:left w:val="single" w:color="auto" w:sz="6" w:space="0"/>
              <w:bottom w:val="single" w:color="auto" w:sz="6" w:space="0"/>
              <w:right w:val="single" w:color="auto" w:sz="6" w:space="0"/>
            </w:tcBorders>
            <w:vAlign w:val="center"/>
          </w:tcPr>
          <w:p w14:paraId="663F1435">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2170" w:type="dxa"/>
            <w:gridSpan w:val="3"/>
            <w:tcBorders>
              <w:top w:val="single" w:color="auto" w:sz="6" w:space="0"/>
              <w:left w:val="single" w:color="auto" w:sz="6" w:space="0"/>
              <w:bottom w:val="single" w:color="auto" w:sz="6" w:space="0"/>
              <w:right w:val="single" w:color="auto" w:sz="6" w:space="0"/>
            </w:tcBorders>
            <w:vAlign w:val="center"/>
          </w:tcPr>
          <w:p w14:paraId="2B0BB48E">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3505" w:type="dxa"/>
            <w:gridSpan w:val="5"/>
            <w:tcBorders>
              <w:top w:val="single" w:color="auto" w:sz="6" w:space="0"/>
              <w:left w:val="single" w:color="auto" w:sz="6" w:space="0"/>
              <w:bottom w:val="single" w:color="auto" w:sz="6" w:space="0"/>
              <w:right w:val="single" w:color="auto" w:sz="12" w:space="0"/>
            </w:tcBorders>
            <w:vAlign w:val="center"/>
          </w:tcPr>
          <w:p w14:paraId="0BEF745C">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28981164">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vAlign w:val="center"/>
          </w:tcPr>
          <w:p w14:paraId="61B3B198">
            <w:pPr>
              <w:spacing w:line="400" w:lineRule="exact"/>
              <w:jc w:val="center"/>
              <w:rPr>
                <w:rFonts w:hint="eastAsia" w:ascii="仿宋" w:hAnsi="仿宋" w:eastAsia="仿宋" w:cs="仿宋"/>
                <w:color w:val="auto"/>
                <w:sz w:val="24"/>
                <w:highlight w:val="none"/>
              </w:rPr>
            </w:pPr>
          </w:p>
        </w:tc>
        <w:tc>
          <w:tcPr>
            <w:tcW w:w="1142" w:type="dxa"/>
            <w:tcBorders>
              <w:top w:val="single" w:color="auto" w:sz="6" w:space="0"/>
              <w:left w:val="single" w:color="auto" w:sz="6" w:space="0"/>
              <w:bottom w:val="single" w:color="auto" w:sz="6" w:space="0"/>
              <w:right w:val="single" w:color="auto" w:sz="6" w:space="0"/>
            </w:tcBorders>
            <w:vAlign w:val="center"/>
          </w:tcPr>
          <w:p w14:paraId="5B7922D4">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1428" w:type="dxa"/>
            <w:gridSpan w:val="3"/>
            <w:tcBorders>
              <w:top w:val="single" w:color="auto" w:sz="6" w:space="0"/>
              <w:left w:val="single" w:color="auto" w:sz="6" w:space="0"/>
              <w:bottom w:val="single" w:color="auto" w:sz="6" w:space="0"/>
              <w:right w:val="single" w:color="auto" w:sz="6" w:space="0"/>
            </w:tcBorders>
            <w:vAlign w:val="center"/>
          </w:tcPr>
          <w:p w14:paraId="2586B585">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2170" w:type="dxa"/>
            <w:gridSpan w:val="3"/>
            <w:tcBorders>
              <w:top w:val="single" w:color="auto" w:sz="6" w:space="0"/>
              <w:left w:val="single" w:color="auto" w:sz="6" w:space="0"/>
              <w:bottom w:val="single" w:color="auto" w:sz="6" w:space="0"/>
              <w:right w:val="single" w:color="auto" w:sz="6" w:space="0"/>
            </w:tcBorders>
            <w:vAlign w:val="center"/>
          </w:tcPr>
          <w:p w14:paraId="43674A27">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c>
          <w:tcPr>
            <w:tcW w:w="3505" w:type="dxa"/>
            <w:gridSpan w:val="5"/>
            <w:tcBorders>
              <w:top w:val="single" w:color="auto" w:sz="6" w:space="0"/>
              <w:left w:val="single" w:color="auto" w:sz="6" w:space="0"/>
              <w:bottom w:val="single" w:color="auto" w:sz="6" w:space="0"/>
              <w:right w:val="single" w:color="auto" w:sz="12" w:space="0"/>
            </w:tcBorders>
            <w:vAlign w:val="center"/>
          </w:tcPr>
          <w:p w14:paraId="3F8D2F0A">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r w14:paraId="78519611">
        <w:tblPrEx>
          <w:tblCellMar>
            <w:top w:w="0" w:type="dxa"/>
            <w:left w:w="108" w:type="dxa"/>
            <w:bottom w:w="0" w:type="dxa"/>
            <w:right w:w="108" w:type="dxa"/>
          </w:tblCellMar>
        </w:tblPrEx>
        <w:trPr>
          <w:trHeight w:val="4825" w:hRule="atLeast"/>
        </w:trPr>
        <w:tc>
          <w:tcPr>
            <w:tcW w:w="1394" w:type="dxa"/>
            <w:tcBorders>
              <w:top w:val="single" w:color="auto" w:sz="4" w:space="0"/>
              <w:left w:val="single" w:color="auto" w:sz="12" w:space="0"/>
              <w:bottom w:val="single" w:color="auto" w:sz="12" w:space="0"/>
              <w:right w:val="single" w:color="auto" w:sz="6" w:space="0"/>
            </w:tcBorders>
            <w:vAlign w:val="center"/>
          </w:tcPr>
          <w:p w14:paraId="1DC00AD1">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公司简介</w:t>
            </w:r>
          </w:p>
        </w:tc>
        <w:tc>
          <w:tcPr>
            <w:tcW w:w="8245" w:type="dxa"/>
            <w:gridSpan w:val="12"/>
            <w:tcBorders>
              <w:top w:val="single" w:color="auto" w:sz="6" w:space="0"/>
              <w:left w:val="single" w:color="auto" w:sz="6" w:space="0"/>
              <w:bottom w:val="single" w:color="auto" w:sz="12" w:space="0"/>
              <w:right w:val="single" w:color="auto" w:sz="12" w:space="0"/>
            </w:tcBorders>
            <w:vAlign w:val="center"/>
          </w:tcPr>
          <w:p w14:paraId="7CF986FB">
            <w:pPr>
              <w:tabs>
                <w:tab w:val="left" w:pos="540"/>
              </w:tabs>
              <w:spacing w:line="400" w:lineRule="exact"/>
              <w:ind w:left="-132" w:leftChars="-64" w:right="-105" w:rightChars="-50" w:hanging="2"/>
              <w:jc w:val="center"/>
              <w:rPr>
                <w:rFonts w:hint="eastAsia" w:ascii="仿宋" w:hAnsi="仿宋" w:eastAsia="仿宋" w:cs="仿宋"/>
                <w:color w:val="auto"/>
                <w:sz w:val="24"/>
                <w:highlight w:val="none"/>
              </w:rPr>
            </w:pPr>
          </w:p>
        </w:tc>
      </w:tr>
    </w:tbl>
    <w:p w14:paraId="0145A496">
      <w:pPr>
        <w:autoSpaceDE w:val="0"/>
        <w:autoSpaceDN w:val="0"/>
        <w:adjustRightInd w:val="0"/>
        <w:spacing w:line="360" w:lineRule="auto"/>
        <w:jc w:val="left"/>
        <w:rPr>
          <w:rFonts w:hint="eastAsia" w:ascii="仿宋" w:hAnsi="仿宋" w:eastAsia="仿宋" w:cs="仿宋"/>
          <w:bCs w:val="0"/>
          <w:color w:val="auto"/>
          <w:spacing w:val="0"/>
          <w:szCs w:val="24"/>
          <w:highlight w:val="none"/>
          <w:lang w:val="en-US" w:eastAsia="zh-CN"/>
        </w:rPr>
      </w:pPr>
      <w:r>
        <w:rPr>
          <w:rFonts w:hint="eastAsia" w:ascii="仿宋" w:hAnsi="仿宋" w:eastAsia="仿宋" w:cs="仿宋"/>
          <w:bCs w:val="0"/>
          <w:color w:val="auto"/>
          <w:spacing w:val="0"/>
          <w:szCs w:val="24"/>
          <w:highlight w:val="none"/>
        </w:rPr>
        <w:t>注</w:t>
      </w:r>
      <w:r>
        <w:rPr>
          <w:rFonts w:hint="eastAsia" w:ascii="仿宋" w:hAnsi="仿宋" w:eastAsia="仿宋" w:cs="仿宋"/>
          <w:bCs w:val="0"/>
          <w:color w:val="auto"/>
          <w:spacing w:val="0"/>
          <w:szCs w:val="24"/>
          <w:highlight w:val="none"/>
          <w:lang w:eastAsia="zh-CN"/>
        </w:rPr>
        <w:t>（</w:t>
      </w:r>
      <w:r>
        <w:rPr>
          <w:rFonts w:hint="eastAsia" w:ascii="仿宋" w:hAnsi="仿宋" w:eastAsia="仿宋" w:cs="仿宋"/>
          <w:bCs w:val="0"/>
          <w:color w:val="auto"/>
          <w:spacing w:val="0"/>
          <w:szCs w:val="24"/>
          <w:highlight w:val="none"/>
          <w:lang w:val="en-US" w:eastAsia="zh-CN"/>
        </w:rPr>
        <w:t>附带）</w:t>
      </w:r>
      <w:r>
        <w:rPr>
          <w:rFonts w:hint="eastAsia" w:ascii="仿宋" w:hAnsi="仿宋" w:eastAsia="仿宋" w:cs="仿宋"/>
          <w:bCs w:val="0"/>
          <w:color w:val="auto"/>
          <w:spacing w:val="0"/>
          <w:szCs w:val="24"/>
          <w:highlight w:val="none"/>
        </w:rPr>
        <w:t>：</w:t>
      </w:r>
    </w:p>
    <w:p w14:paraId="157C79C9">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bCs/>
          <w:color w:val="auto"/>
          <w:sz w:val="24"/>
          <w:highlight w:val="none"/>
        </w:rPr>
        <w:t>法人或者其他组织的营业执照、企业相关资质认证证书等证明文件</w:t>
      </w:r>
      <w:r>
        <w:rPr>
          <w:rFonts w:hint="eastAsia" w:ascii="仿宋" w:hAnsi="仿宋" w:eastAsia="仿宋" w:cs="仿宋"/>
          <w:color w:val="auto"/>
          <w:kern w:val="0"/>
          <w:sz w:val="24"/>
          <w:highlight w:val="none"/>
        </w:rPr>
        <w:t>；</w:t>
      </w:r>
    </w:p>
    <w:p w14:paraId="62A92F47">
      <w:pPr>
        <w:autoSpaceDE w:val="0"/>
        <w:autoSpaceDN w:val="0"/>
        <w:adjustRightIn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．供应商认为应该提交的其他资料。</w:t>
      </w:r>
    </w:p>
    <w:p w14:paraId="143C2A6B">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769D84BC">
      <w:pPr>
        <w:pStyle w:val="5"/>
        <w:numPr>
          <w:ilvl w:val="0"/>
          <w:numId w:val="2"/>
        </w:numPr>
        <w:spacing w:line="360" w:lineRule="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highlight w:val="none"/>
          <w:lang w:val="en-US" w:eastAsia="zh-CN"/>
        </w:rPr>
        <w:t>采购需求反馈表</w:t>
      </w:r>
    </w:p>
    <w:p w14:paraId="0499F73A">
      <w:pPr>
        <w:pStyle w:val="5"/>
        <w:spacing w:line="360" w:lineRule="auto"/>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采购需求反馈表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7629"/>
      </w:tblGrid>
      <w:tr w14:paraId="69D2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pct"/>
            <w:vAlign w:val="center"/>
          </w:tcPr>
          <w:p w14:paraId="727EAA32">
            <w:pP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名称</w:t>
            </w:r>
          </w:p>
        </w:tc>
        <w:tc>
          <w:tcPr>
            <w:tcW w:w="3963" w:type="pct"/>
            <w:vAlign w:val="center"/>
          </w:tcPr>
          <w:p w14:paraId="466D5E5D">
            <w:pP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普宁市市区环卫作业外包服务项目(2026-2029年)</w:t>
            </w:r>
          </w:p>
        </w:tc>
      </w:tr>
      <w:tr w14:paraId="7697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pct"/>
            <w:shd w:val="clear" w:color="auto" w:fill="auto"/>
            <w:vAlign w:val="center"/>
          </w:tcPr>
          <w:p w14:paraId="2119E9A4">
            <w:pPr>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采购包1</w:t>
            </w:r>
          </w:p>
        </w:tc>
        <w:tc>
          <w:tcPr>
            <w:tcW w:w="3963" w:type="pct"/>
            <w:shd w:val="clear" w:color="auto" w:fill="auto"/>
            <w:vAlign w:val="center"/>
          </w:tcPr>
          <w:p w14:paraId="34DF8D84">
            <w:pPr>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普宁市市区环卫作业外包服务（东片区）</w:t>
            </w:r>
          </w:p>
        </w:tc>
      </w:tr>
      <w:tr w14:paraId="3A48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0" w:hRule="atLeast"/>
        </w:trPr>
        <w:tc>
          <w:tcPr>
            <w:tcW w:w="5000" w:type="pct"/>
            <w:gridSpan w:val="2"/>
            <w:tcMar>
              <w:left w:w="113" w:type="dxa"/>
              <w:right w:w="28" w:type="dxa"/>
            </w:tcMar>
            <w:vAlign w:val="top"/>
          </w:tcPr>
          <w:p w14:paraId="65F7D1C7">
            <w:p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采购需求反馈：</w:t>
            </w:r>
          </w:p>
        </w:tc>
      </w:tr>
      <w:tr w14:paraId="2832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36" w:type="pct"/>
            <w:tcMar>
              <w:left w:w="113" w:type="dxa"/>
              <w:right w:w="28" w:type="dxa"/>
            </w:tcMar>
            <w:vAlign w:val="center"/>
          </w:tcPr>
          <w:p w14:paraId="3751859C">
            <w:pPr>
              <w:pStyle w:val="4"/>
              <w:ind w:left="0" w:leftChars="0" w:firstLine="0" w:firstLineChars="0"/>
              <w:rPr>
                <w:rFonts w:hint="default"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采购包2</w:t>
            </w:r>
          </w:p>
        </w:tc>
        <w:tc>
          <w:tcPr>
            <w:tcW w:w="3963" w:type="pct"/>
            <w:tcMar>
              <w:left w:w="113" w:type="dxa"/>
              <w:right w:w="28" w:type="dxa"/>
            </w:tcMar>
            <w:vAlign w:val="center"/>
          </w:tcPr>
          <w:p w14:paraId="2DDA230F">
            <w:pPr>
              <w:pStyle w:val="4"/>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普宁市市区环卫作业外包服务（西片区）</w:t>
            </w:r>
          </w:p>
        </w:tc>
      </w:tr>
      <w:tr w14:paraId="3A27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trPr>
        <w:tc>
          <w:tcPr>
            <w:tcW w:w="5000" w:type="pct"/>
            <w:gridSpan w:val="2"/>
            <w:tcMar>
              <w:left w:w="113" w:type="dxa"/>
              <w:right w:w="28" w:type="dxa"/>
            </w:tcMar>
            <w:vAlign w:val="top"/>
          </w:tcPr>
          <w:p w14:paraId="769FFE13">
            <w:pPr>
              <w:pStyle w:val="4"/>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采购需求反馈：</w:t>
            </w:r>
          </w:p>
        </w:tc>
      </w:tr>
    </w:tbl>
    <w:p w14:paraId="73636DCB">
      <w:pPr>
        <w:rPr>
          <w:rFonts w:hint="eastAsia" w:ascii="仿宋" w:hAnsi="仿宋" w:eastAsia="仿宋" w:cs="仿宋"/>
          <w:b/>
          <w:bCs/>
          <w:color w:val="auto"/>
          <w:sz w:val="24"/>
          <w:szCs w:val="24"/>
          <w:highlight w:val="none"/>
          <w:lang w:val="en-US" w:eastAsia="zh-CN"/>
        </w:rPr>
      </w:pPr>
    </w:p>
    <w:p w14:paraId="21CA3EFB">
      <w:pPr>
        <w:rPr>
          <w:rFonts w:hint="eastAsia" w:ascii="仿宋" w:hAnsi="仿宋" w:eastAsia="仿宋" w:cs="仿宋"/>
          <w:b/>
          <w:bCs/>
          <w:color w:val="auto"/>
          <w:sz w:val="24"/>
          <w:szCs w:val="24"/>
          <w:highlight w:val="none"/>
          <w:lang w:val="en-US" w:eastAsia="zh-CN"/>
        </w:rPr>
      </w:pPr>
    </w:p>
    <w:p w14:paraId="3819141A">
      <w:pPr>
        <w:spacing w:line="48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供应商</w:t>
      </w:r>
      <w:r>
        <w:rPr>
          <w:rFonts w:hint="eastAsia" w:ascii="仿宋" w:hAnsi="仿宋" w:eastAsia="仿宋" w:cs="仿宋"/>
          <w:color w:val="000000"/>
          <w:sz w:val="24"/>
          <w:highlight w:val="none"/>
        </w:rPr>
        <w:t>认为项目</w:t>
      </w:r>
      <w:r>
        <w:rPr>
          <w:rFonts w:hint="eastAsia" w:ascii="仿宋" w:hAnsi="仿宋" w:eastAsia="仿宋" w:cs="仿宋"/>
          <w:color w:val="000000"/>
          <w:sz w:val="24"/>
          <w:highlight w:val="none"/>
          <w:lang w:val="en-US" w:eastAsia="zh-CN"/>
        </w:rPr>
        <w:t>采购</w:t>
      </w:r>
      <w:r>
        <w:rPr>
          <w:rFonts w:hint="eastAsia" w:ascii="仿宋" w:hAnsi="仿宋" w:eastAsia="仿宋" w:cs="仿宋"/>
          <w:color w:val="000000"/>
          <w:sz w:val="24"/>
          <w:highlight w:val="none"/>
        </w:rPr>
        <w:t>需求中有歧视性、排他性或者限制性的内容</w:t>
      </w:r>
      <w:r>
        <w:rPr>
          <w:rFonts w:hint="eastAsia" w:ascii="仿宋" w:hAnsi="仿宋" w:eastAsia="仿宋" w:cs="仿宋"/>
          <w:color w:val="000000"/>
          <w:sz w:val="24"/>
          <w:highlight w:val="none"/>
          <w:lang w:val="en-US" w:eastAsia="zh-CN"/>
        </w:rPr>
        <w:t>或需新增的需求</w:t>
      </w:r>
      <w:r>
        <w:rPr>
          <w:rFonts w:hint="eastAsia" w:ascii="仿宋" w:hAnsi="仿宋" w:eastAsia="仿宋" w:cs="仿宋"/>
          <w:color w:val="000000"/>
          <w:sz w:val="24"/>
          <w:highlight w:val="none"/>
        </w:rPr>
        <w:t>，将</w:t>
      </w:r>
      <w:r>
        <w:rPr>
          <w:rFonts w:hint="eastAsia" w:ascii="仿宋" w:hAnsi="仿宋" w:eastAsia="仿宋" w:cs="仿宋"/>
          <w:color w:val="000000"/>
          <w:sz w:val="24"/>
          <w:highlight w:val="none"/>
          <w:lang w:val="en-US" w:eastAsia="zh-CN"/>
        </w:rPr>
        <w:t>在以上</w:t>
      </w:r>
      <w:r>
        <w:rPr>
          <w:rFonts w:hint="eastAsia" w:ascii="仿宋" w:hAnsi="仿宋" w:eastAsia="仿宋" w:cs="仿宋"/>
          <w:color w:val="000000"/>
          <w:sz w:val="24"/>
          <w:highlight w:val="none"/>
        </w:rPr>
        <w:t>表格</w:t>
      </w:r>
      <w:r>
        <w:rPr>
          <w:rFonts w:hint="eastAsia" w:ascii="仿宋" w:hAnsi="仿宋" w:eastAsia="仿宋" w:cs="仿宋"/>
          <w:color w:val="000000"/>
          <w:sz w:val="24"/>
          <w:highlight w:val="none"/>
          <w:lang w:val="en-US" w:eastAsia="zh-CN"/>
        </w:rPr>
        <w:t>反馈</w:t>
      </w:r>
      <w:r>
        <w:rPr>
          <w:rFonts w:hint="eastAsia" w:ascii="仿宋" w:hAnsi="仿宋" w:eastAsia="仿宋" w:cs="仿宋"/>
          <w:color w:val="000000"/>
          <w:sz w:val="24"/>
          <w:highlight w:val="none"/>
        </w:rPr>
        <w:t>，本着诚实信用原则，真实填写意见和建议</w:t>
      </w:r>
      <w:r>
        <w:rPr>
          <w:rFonts w:hint="eastAsia" w:ascii="仿宋" w:hAnsi="仿宋" w:eastAsia="仿宋" w:cs="仿宋"/>
          <w:b w:val="0"/>
          <w:bCs w:val="0"/>
          <w:color w:val="auto"/>
          <w:sz w:val="24"/>
          <w:szCs w:val="24"/>
          <w:highlight w:val="none"/>
          <w:lang w:val="en-US" w:eastAsia="zh-CN"/>
        </w:rPr>
        <w:t>（采购需求书见以下附件）。</w:t>
      </w:r>
    </w:p>
    <w:bookmarkEnd w:id="0"/>
    <w:bookmarkEnd w:id="1"/>
    <w:bookmarkEnd w:id="2"/>
    <w:bookmarkEnd w:id="3"/>
    <w:bookmarkEnd w:id="4"/>
    <w:bookmarkEnd w:id="5"/>
    <w:bookmarkEnd w:id="6"/>
    <w:bookmarkEnd w:id="7"/>
    <w:bookmarkEnd w:id="8"/>
    <w:bookmarkEnd w:id="9"/>
    <w:bookmarkEnd w:id="10"/>
    <w:bookmarkEnd w:id="11"/>
    <w:p w14:paraId="5A5E3173">
      <w:pPr>
        <w:rPr>
          <w:rFonts w:hint="eastAsia" w:ascii="仿宋" w:hAnsi="仿宋" w:eastAsia="仿宋" w:cs="仿宋"/>
          <w:color w:val="auto"/>
          <w:highlight w:val="none"/>
          <w:u w:val="single"/>
        </w:rPr>
      </w:pPr>
      <w:r>
        <w:rPr>
          <w:rFonts w:hint="eastAsia" w:ascii="仿宋" w:hAnsi="仿宋" w:eastAsia="仿宋" w:cs="仿宋"/>
          <w:b w:val="0"/>
          <w:bCs w:val="0"/>
          <w:color w:val="auto"/>
          <w:sz w:val="24"/>
          <w:szCs w:val="24"/>
          <w:highlight w:val="none"/>
          <w:lang w:val="en-US" w:eastAsia="zh-CN"/>
        </w:rPr>
        <w:br w:type="page"/>
      </w:r>
    </w:p>
    <w:p w14:paraId="25646788">
      <w:pPr>
        <w:pStyle w:val="5"/>
        <w:numPr>
          <w:ilvl w:val="0"/>
          <w:numId w:val="2"/>
        </w:numPr>
        <w:spacing w:line="360" w:lineRule="auto"/>
        <w:outlineLvl w:val="1"/>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报价表（格式自拟）</w:t>
      </w:r>
    </w:p>
    <w:p w14:paraId="37DE1EC0">
      <w:pPr>
        <w:spacing w:line="360" w:lineRule="auto"/>
        <w:ind w:firstLine="560" w:firstLineChars="200"/>
        <w:rPr>
          <w:rFonts w:hint="eastAsia" w:ascii="仿宋" w:hAnsi="仿宋" w:eastAsia="仿宋" w:cs="仿宋"/>
          <w:color w:val="auto"/>
          <w:sz w:val="28"/>
          <w:szCs w:val="28"/>
          <w:highlight w:val="none"/>
        </w:rPr>
      </w:pPr>
    </w:p>
    <w:p w14:paraId="20CFE28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49C625E4">
      <w:pPr>
        <w:rPr>
          <w:rFonts w:hint="eastAsia" w:ascii="仿宋" w:hAnsi="仿宋" w:eastAsia="仿宋" w:cs="仿宋"/>
          <w:b w:val="0"/>
          <w:bCs w:val="0"/>
          <w:color w:val="auto"/>
          <w:sz w:val="24"/>
          <w:szCs w:val="24"/>
          <w:highlight w:val="none"/>
          <w:lang w:val="en-US" w:eastAsia="zh-CN"/>
        </w:rPr>
        <w:sectPr>
          <w:footerReference r:id="rId6" w:type="first"/>
          <w:headerReference r:id="rId3" w:type="default"/>
          <w:footerReference r:id="rId4" w:type="default"/>
          <w:footerReference r:id="rId5" w:type="even"/>
          <w:pgSz w:w="11906" w:h="16838"/>
          <w:pgMar w:top="1418" w:right="1134" w:bottom="1134" w:left="1365" w:header="1134" w:footer="567" w:gutter="0"/>
          <w:pgNumType w:fmt="decimal"/>
          <w:cols w:space="720" w:num="1"/>
          <w:titlePg/>
          <w:docGrid w:type="lines" w:linePitch="312" w:charSpace="0"/>
        </w:sectPr>
      </w:pPr>
      <w:r>
        <w:rPr>
          <w:rFonts w:hint="eastAsia" w:ascii="仿宋" w:hAnsi="仿宋" w:eastAsia="仿宋" w:cs="仿宋"/>
          <w:b/>
          <w:bCs/>
          <w:color w:val="auto"/>
          <w:highlight w:val="none"/>
        </w:rPr>
        <w:br w:type="page"/>
      </w:r>
    </w:p>
    <w:p w14:paraId="4E01B9B8">
      <w:pPr>
        <w:pStyle w:val="5"/>
        <w:numPr>
          <w:ilvl w:val="0"/>
          <w:numId w:val="0"/>
        </w:numPr>
        <w:spacing w:line="360" w:lineRule="auto"/>
        <w:ind w:left="142" w:leftChars="0"/>
        <w:outlineLvl w:val="1"/>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格式4 类似项目业绩表</w:t>
      </w:r>
    </w:p>
    <w:tbl>
      <w:tblPr>
        <w:tblStyle w:val="14"/>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832"/>
        <w:gridCol w:w="1611"/>
        <w:gridCol w:w="1935"/>
        <w:gridCol w:w="1731"/>
        <w:gridCol w:w="1732"/>
      </w:tblGrid>
      <w:tr w14:paraId="3C44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56" w:type="pct"/>
            <w:vAlign w:val="center"/>
          </w:tcPr>
          <w:p w14:paraId="30E20312">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962" w:type="pct"/>
            <w:vAlign w:val="center"/>
          </w:tcPr>
          <w:p w14:paraId="275E7696">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项目名称</w:t>
            </w:r>
          </w:p>
        </w:tc>
        <w:tc>
          <w:tcPr>
            <w:tcW w:w="846" w:type="pct"/>
            <w:vAlign w:val="center"/>
          </w:tcPr>
          <w:p w14:paraId="3DE52A40">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采购人名称</w:t>
            </w:r>
          </w:p>
        </w:tc>
        <w:tc>
          <w:tcPr>
            <w:tcW w:w="1016" w:type="pct"/>
            <w:vAlign w:val="center"/>
          </w:tcPr>
          <w:p w14:paraId="7B2A3273">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lang w:val="en-US" w:eastAsia="zh-CN"/>
              </w:rPr>
              <w:t>预算金额或</w:t>
            </w:r>
            <w:r>
              <w:rPr>
                <w:rFonts w:hint="eastAsia" w:ascii="仿宋" w:hAnsi="仿宋" w:eastAsia="仿宋" w:cs="仿宋"/>
                <w:b/>
                <w:bCs/>
                <w:color w:val="auto"/>
                <w:sz w:val="24"/>
                <w:szCs w:val="24"/>
                <w:highlight w:val="none"/>
                <w:vertAlign w:val="baseline"/>
                <w:lang w:val="en-US" w:eastAsia="zh-CN"/>
              </w:rPr>
              <w:t>中标金额（万元）</w:t>
            </w:r>
          </w:p>
        </w:tc>
        <w:tc>
          <w:tcPr>
            <w:tcW w:w="909" w:type="pct"/>
            <w:vAlign w:val="center"/>
          </w:tcPr>
          <w:p w14:paraId="2EBCBF4D">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合同时间</w:t>
            </w:r>
          </w:p>
        </w:tc>
        <w:tc>
          <w:tcPr>
            <w:tcW w:w="909" w:type="pct"/>
            <w:vAlign w:val="center"/>
          </w:tcPr>
          <w:p w14:paraId="401B87BC">
            <w:p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00DB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56" w:type="pct"/>
            <w:vAlign w:val="center"/>
          </w:tcPr>
          <w:p w14:paraId="173E839B">
            <w:pPr>
              <w:jc w:val="center"/>
              <w:rPr>
                <w:rFonts w:hint="eastAsia" w:ascii="仿宋" w:hAnsi="仿宋" w:eastAsia="仿宋" w:cs="仿宋"/>
                <w:b w:val="0"/>
                <w:bCs w:val="0"/>
                <w:color w:val="auto"/>
                <w:sz w:val="24"/>
                <w:szCs w:val="24"/>
                <w:highlight w:val="none"/>
                <w:vertAlign w:val="baseline"/>
              </w:rPr>
            </w:pPr>
          </w:p>
        </w:tc>
        <w:tc>
          <w:tcPr>
            <w:tcW w:w="962" w:type="pct"/>
            <w:vAlign w:val="center"/>
          </w:tcPr>
          <w:p w14:paraId="7A7EE26E">
            <w:pPr>
              <w:jc w:val="center"/>
              <w:rPr>
                <w:rFonts w:hint="eastAsia" w:ascii="仿宋" w:hAnsi="仿宋" w:eastAsia="仿宋" w:cs="仿宋"/>
                <w:b w:val="0"/>
                <w:bCs w:val="0"/>
                <w:color w:val="auto"/>
                <w:sz w:val="24"/>
                <w:szCs w:val="24"/>
                <w:highlight w:val="none"/>
                <w:vertAlign w:val="baseline"/>
              </w:rPr>
            </w:pPr>
          </w:p>
        </w:tc>
        <w:tc>
          <w:tcPr>
            <w:tcW w:w="846" w:type="pct"/>
            <w:vAlign w:val="center"/>
          </w:tcPr>
          <w:p w14:paraId="0739F96E">
            <w:pPr>
              <w:jc w:val="center"/>
              <w:rPr>
                <w:rFonts w:hint="eastAsia" w:ascii="仿宋" w:hAnsi="仿宋" w:eastAsia="仿宋" w:cs="仿宋"/>
                <w:b w:val="0"/>
                <w:bCs w:val="0"/>
                <w:color w:val="auto"/>
                <w:sz w:val="24"/>
                <w:szCs w:val="24"/>
                <w:highlight w:val="none"/>
                <w:vertAlign w:val="baseline"/>
              </w:rPr>
            </w:pPr>
          </w:p>
        </w:tc>
        <w:tc>
          <w:tcPr>
            <w:tcW w:w="1016" w:type="pct"/>
            <w:vAlign w:val="center"/>
          </w:tcPr>
          <w:p w14:paraId="70D9F3DF">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47D1D677">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154FFD95">
            <w:pPr>
              <w:jc w:val="center"/>
              <w:rPr>
                <w:rFonts w:hint="eastAsia" w:ascii="仿宋" w:hAnsi="仿宋" w:eastAsia="仿宋" w:cs="仿宋"/>
                <w:b w:val="0"/>
                <w:bCs w:val="0"/>
                <w:color w:val="auto"/>
                <w:sz w:val="24"/>
                <w:szCs w:val="24"/>
                <w:highlight w:val="none"/>
                <w:vertAlign w:val="baseline"/>
              </w:rPr>
            </w:pPr>
          </w:p>
        </w:tc>
      </w:tr>
      <w:tr w14:paraId="2643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56" w:type="pct"/>
            <w:vAlign w:val="center"/>
          </w:tcPr>
          <w:p w14:paraId="3E4B99E3">
            <w:pPr>
              <w:jc w:val="center"/>
              <w:rPr>
                <w:rFonts w:hint="eastAsia" w:ascii="仿宋" w:hAnsi="仿宋" w:eastAsia="仿宋" w:cs="仿宋"/>
                <w:b w:val="0"/>
                <w:bCs w:val="0"/>
                <w:color w:val="auto"/>
                <w:sz w:val="24"/>
                <w:szCs w:val="24"/>
                <w:highlight w:val="none"/>
                <w:vertAlign w:val="baseline"/>
              </w:rPr>
            </w:pPr>
          </w:p>
        </w:tc>
        <w:tc>
          <w:tcPr>
            <w:tcW w:w="962" w:type="pct"/>
            <w:vAlign w:val="center"/>
          </w:tcPr>
          <w:p w14:paraId="749C8179">
            <w:pPr>
              <w:jc w:val="center"/>
              <w:rPr>
                <w:rFonts w:hint="eastAsia" w:ascii="仿宋" w:hAnsi="仿宋" w:eastAsia="仿宋" w:cs="仿宋"/>
                <w:b w:val="0"/>
                <w:bCs w:val="0"/>
                <w:color w:val="auto"/>
                <w:sz w:val="24"/>
                <w:szCs w:val="24"/>
                <w:highlight w:val="none"/>
                <w:vertAlign w:val="baseline"/>
              </w:rPr>
            </w:pPr>
          </w:p>
        </w:tc>
        <w:tc>
          <w:tcPr>
            <w:tcW w:w="846" w:type="pct"/>
            <w:vAlign w:val="center"/>
          </w:tcPr>
          <w:p w14:paraId="43D73B30">
            <w:pPr>
              <w:jc w:val="center"/>
              <w:rPr>
                <w:rFonts w:hint="eastAsia" w:ascii="仿宋" w:hAnsi="仿宋" w:eastAsia="仿宋" w:cs="仿宋"/>
                <w:b w:val="0"/>
                <w:bCs w:val="0"/>
                <w:color w:val="auto"/>
                <w:sz w:val="24"/>
                <w:szCs w:val="24"/>
                <w:highlight w:val="none"/>
                <w:vertAlign w:val="baseline"/>
              </w:rPr>
            </w:pPr>
          </w:p>
        </w:tc>
        <w:tc>
          <w:tcPr>
            <w:tcW w:w="1016" w:type="pct"/>
            <w:vAlign w:val="center"/>
          </w:tcPr>
          <w:p w14:paraId="7516C9D8">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1CFBB7FC">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53FA4090">
            <w:pPr>
              <w:jc w:val="center"/>
              <w:rPr>
                <w:rFonts w:hint="eastAsia" w:ascii="仿宋" w:hAnsi="仿宋" w:eastAsia="仿宋" w:cs="仿宋"/>
                <w:b w:val="0"/>
                <w:bCs w:val="0"/>
                <w:color w:val="auto"/>
                <w:sz w:val="24"/>
                <w:szCs w:val="24"/>
                <w:highlight w:val="none"/>
                <w:vertAlign w:val="baseline"/>
              </w:rPr>
            </w:pPr>
          </w:p>
        </w:tc>
      </w:tr>
      <w:tr w14:paraId="7955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56" w:type="pct"/>
            <w:vAlign w:val="center"/>
          </w:tcPr>
          <w:p w14:paraId="3565948B">
            <w:pPr>
              <w:jc w:val="center"/>
              <w:rPr>
                <w:rFonts w:hint="eastAsia" w:ascii="仿宋" w:hAnsi="仿宋" w:eastAsia="仿宋" w:cs="仿宋"/>
                <w:b w:val="0"/>
                <w:bCs w:val="0"/>
                <w:color w:val="auto"/>
                <w:sz w:val="24"/>
                <w:szCs w:val="24"/>
                <w:highlight w:val="none"/>
                <w:vertAlign w:val="baseline"/>
              </w:rPr>
            </w:pPr>
          </w:p>
        </w:tc>
        <w:tc>
          <w:tcPr>
            <w:tcW w:w="962" w:type="pct"/>
            <w:vAlign w:val="center"/>
          </w:tcPr>
          <w:p w14:paraId="0629EF03">
            <w:pPr>
              <w:jc w:val="center"/>
              <w:rPr>
                <w:rFonts w:hint="eastAsia" w:ascii="仿宋" w:hAnsi="仿宋" w:eastAsia="仿宋" w:cs="仿宋"/>
                <w:b w:val="0"/>
                <w:bCs w:val="0"/>
                <w:color w:val="auto"/>
                <w:sz w:val="24"/>
                <w:szCs w:val="24"/>
                <w:highlight w:val="none"/>
                <w:vertAlign w:val="baseline"/>
              </w:rPr>
            </w:pPr>
          </w:p>
        </w:tc>
        <w:tc>
          <w:tcPr>
            <w:tcW w:w="846" w:type="pct"/>
            <w:vAlign w:val="center"/>
          </w:tcPr>
          <w:p w14:paraId="71AB4882">
            <w:pPr>
              <w:jc w:val="center"/>
              <w:rPr>
                <w:rFonts w:hint="eastAsia" w:ascii="仿宋" w:hAnsi="仿宋" w:eastAsia="仿宋" w:cs="仿宋"/>
                <w:b w:val="0"/>
                <w:bCs w:val="0"/>
                <w:color w:val="auto"/>
                <w:sz w:val="24"/>
                <w:szCs w:val="24"/>
                <w:highlight w:val="none"/>
                <w:vertAlign w:val="baseline"/>
              </w:rPr>
            </w:pPr>
          </w:p>
        </w:tc>
        <w:tc>
          <w:tcPr>
            <w:tcW w:w="1016" w:type="pct"/>
            <w:vAlign w:val="center"/>
          </w:tcPr>
          <w:p w14:paraId="131CA080">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20C2C52D">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64EC4AE8">
            <w:pPr>
              <w:jc w:val="center"/>
              <w:rPr>
                <w:rFonts w:hint="eastAsia" w:ascii="仿宋" w:hAnsi="仿宋" w:eastAsia="仿宋" w:cs="仿宋"/>
                <w:b w:val="0"/>
                <w:bCs w:val="0"/>
                <w:color w:val="auto"/>
                <w:sz w:val="24"/>
                <w:szCs w:val="24"/>
                <w:highlight w:val="none"/>
                <w:vertAlign w:val="baseline"/>
              </w:rPr>
            </w:pPr>
          </w:p>
        </w:tc>
      </w:tr>
      <w:tr w14:paraId="5A02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56" w:type="pct"/>
            <w:vAlign w:val="center"/>
          </w:tcPr>
          <w:p w14:paraId="0513D6D2">
            <w:pPr>
              <w:jc w:val="center"/>
              <w:rPr>
                <w:rFonts w:hint="eastAsia" w:ascii="仿宋" w:hAnsi="仿宋" w:eastAsia="仿宋" w:cs="仿宋"/>
                <w:b w:val="0"/>
                <w:bCs w:val="0"/>
                <w:color w:val="auto"/>
                <w:sz w:val="24"/>
                <w:szCs w:val="24"/>
                <w:highlight w:val="none"/>
                <w:vertAlign w:val="baseline"/>
              </w:rPr>
            </w:pPr>
          </w:p>
        </w:tc>
        <w:tc>
          <w:tcPr>
            <w:tcW w:w="962" w:type="pct"/>
            <w:vAlign w:val="center"/>
          </w:tcPr>
          <w:p w14:paraId="548CDB7E">
            <w:pPr>
              <w:jc w:val="center"/>
              <w:rPr>
                <w:rFonts w:hint="eastAsia" w:ascii="仿宋" w:hAnsi="仿宋" w:eastAsia="仿宋" w:cs="仿宋"/>
                <w:b w:val="0"/>
                <w:bCs w:val="0"/>
                <w:color w:val="auto"/>
                <w:sz w:val="24"/>
                <w:szCs w:val="24"/>
                <w:highlight w:val="none"/>
                <w:vertAlign w:val="baseline"/>
              </w:rPr>
            </w:pPr>
          </w:p>
        </w:tc>
        <w:tc>
          <w:tcPr>
            <w:tcW w:w="846" w:type="pct"/>
            <w:vAlign w:val="center"/>
          </w:tcPr>
          <w:p w14:paraId="7493EE85">
            <w:pPr>
              <w:jc w:val="center"/>
              <w:rPr>
                <w:rFonts w:hint="eastAsia" w:ascii="仿宋" w:hAnsi="仿宋" w:eastAsia="仿宋" w:cs="仿宋"/>
                <w:b w:val="0"/>
                <w:bCs w:val="0"/>
                <w:color w:val="auto"/>
                <w:sz w:val="24"/>
                <w:szCs w:val="24"/>
                <w:highlight w:val="none"/>
                <w:vertAlign w:val="baseline"/>
              </w:rPr>
            </w:pPr>
          </w:p>
        </w:tc>
        <w:tc>
          <w:tcPr>
            <w:tcW w:w="1016" w:type="pct"/>
            <w:vAlign w:val="center"/>
          </w:tcPr>
          <w:p w14:paraId="112CC6AA">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73B06542">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18FFC093">
            <w:pPr>
              <w:jc w:val="center"/>
              <w:rPr>
                <w:rFonts w:hint="eastAsia" w:ascii="仿宋" w:hAnsi="仿宋" w:eastAsia="仿宋" w:cs="仿宋"/>
                <w:b w:val="0"/>
                <w:bCs w:val="0"/>
                <w:color w:val="auto"/>
                <w:sz w:val="24"/>
                <w:szCs w:val="24"/>
                <w:highlight w:val="none"/>
                <w:vertAlign w:val="baseline"/>
              </w:rPr>
            </w:pPr>
          </w:p>
        </w:tc>
      </w:tr>
      <w:tr w14:paraId="3F79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56" w:type="pct"/>
            <w:vAlign w:val="center"/>
          </w:tcPr>
          <w:p w14:paraId="36427D17">
            <w:pPr>
              <w:jc w:val="center"/>
              <w:rPr>
                <w:rFonts w:hint="eastAsia" w:ascii="仿宋" w:hAnsi="仿宋" w:eastAsia="仿宋" w:cs="仿宋"/>
                <w:b w:val="0"/>
                <w:bCs w:val="0"/>
                <w:color w:val="auto"/>
                <w:sz w:val="24"/>
                <w:szCs w:val="24"/>
                <w:highlight w:val="none"/>
                <w:vertAlign w:val="baseline"/>
              </w:rPr>
            </w:pPr>
          </w:p>
        </w:tc>
        <w:tc>
          <w:tcPr>
            <w:tcW w:w="962" w:type="pct"/>
            <w:vAlign w:val="center"/>
          </w:tcPr>
          <w:p w14:paraId="68F87265">
            <w:pPr>
              <w:jc w:val="center"/>
              <w:rPr>
                <w:rFonts w:hint="eastAsia" w:ascii="仿宋" w:hAnsi="仿宋" w:eastAsia="仿宋" w:cs="仿宋"/>
                <w:b w:val="0"/>
                <w:bCs w:val="0"/>
                <w:color w:val="auto"/>
                <w:sz w:val="24"/>
                <w:szCs w:val="24"/>
                <w:highlight w:val="none"/>
                <w:vertAlign w:val="baseline"/>
              </w:rPr>
            </w:pPr>
          </w:p>
        </w:tc>
        <w:tc>
          <w:tcPr>
            <w:tcW w:w="846" w:type="pct"/>
            <w:vAlign w:val="center"/>
          </w:tcPr>
          <w:p w14:paraId="423A2590">
            <w:pPr>
              <w:jc w:val="center"/>
              <w:rPr>
                <w:rFonts w:hint="eastAsia" w:ascii="仿宋" w:hAnsi="仿宋" w:eastAsia="仿宋" w:cs="仿宋"/>
                <w:b w:val="0"/>
                <w:bCs w:val="0"/>
                <w:color w:val="auto"/>
                <w:sz w:val="24"/>
                <w:szCs w:val="24"/>
                <w:highlight w:val="none"/>
                <w:vertAlign w:val="baseline"/>
              </w:rPr>
            </w:pPr>
          </w:p>
        </w:tc>
        <w:tc>
          <w:tcPr>
            <w:tcW w:w="1016" w:type="pct"/>
            <w:vAlign w:val="center"/>
          </w:tcPr>
          <w:p w14:paraId="53EF0B0D">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4FC48B58">
            <w:pPr>
              <w:jc w:val="center"/>
              <w:rPr>
                <w:rFonts w:hint="eastAsia" w:ascii="仿宋" w:hAnsi="仿宋" w:eastAsia="仿宋" w:cs="仿宋"/>
                <w:b w:val="0"/>
                <w:bCs w:val="0"/>
                <w:color w:val="auto"/>
                <w:sz w:val="24"/>
                <w:szCs w:val="24"/>
                <w:highlight w:val="none"/>
                <w:vertAlign w:val="baseline"/>
              </w:rPr>
            </w:pPr>
          </w:p>
        </w:tc>
        <w:tc>
          <w:tcPr>
            <w:tcW w:w="909" w:type="pct"/>
            <w:vAlign w:val="center"/>
          </w:tcPr>
          <w:p w14:paraId="2A3970C2">
            <w:pPr>
              <w:jc w:val="center"/>
              <w:rPr>
                <w:rFonts w:hint="eastAsia" w:ascii="仿宋" w:hAnsi="仿宋" w:eastAsia="仿宋" w:cs="仿宋"/>
                <w:b w:val="0"/>
                <w:bCs w:val="0"/>
                <w:color w:val="auto"/>
                <w:sz w:val="24"/>
                <w:szCs w:val="24"/>
                <w:highlight w:val="none"/>
                <w:vertAlign w:val="baseline"/>
              </w:rPr>
            </w:pPr>
          </w:p>
        </w:tc>
      </w:tr>
    </w:tbl>
    <w:p w14:paraId="6832BD16">
      <w:pPr>
        <w:rPr>
          <w:rFonts w:hint="eastAsia" w:ascii="仿宋" w:hAnsi="仿宋" w:eastAsia="仿宋" w:cs="仿宋"/>
          <w:b/>
          <w:bCs/>
          <w:color w:val="auto"/>
          <w:highlight w:val="none"/>
        </w:rPr>
      </w:pPr>
    </w:p>
    <w:p w14:paraId="48FCBFDE">
      <w:pPr>
        <w:rPr>
          <w:rFonts w:hint="eastAsia" w:ascii="仿宋" w:hAnsi="仿宋" w:eastAsia="仿宋" w:cs="仿宋"/>
          <w:b w:val="0"/>
          <w:bCs w:val="0"/>
          <w:color w:val="auto"/>
          <w:sz w:val="24"/>
          <w:szCs w:val="24"/>
          <w:highlight w:val="none"/>
          <w:lang w:val="en-US" w:eastAsia="zh-CN"/>
        </w:rPr>
      </w:pPr>
    </w:p>
    <w:p w14:paraId="599DC5E9">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合同复印件</w:t>
      </w:r>
    </w:p>
    <w:p w14:paraId="5BFEB934">
      <w:pPr>
        <w:pStyle w:val="5"/>
        <w:numPr>
          <w:ilvl w:val="0"/>
          <w:numId w:val="0"/>
        </w:numPr>
        <w:spacing w:line="360" w:lineRule="auto"/>
        <w:outlineLvl w:val="1"/>
        <w:rPr>
          <w:rFonts w:hint="eastAsia" w:ascii="仿宋" w:hAnsi="仿宋" w:eastAsia="仿宋" w:cs="仿宋"/>
          <w:b/>
          <w:bCs/>
          <w:color w:val="auto"/>
          <w:highlight w:val="none"/>
          <w:lang w:val="en-US" w:eastAsia="zh-CN"/>
        </w:rPr>
      </w:pPr>
    </w:p>
    <w:p w14:paraId="6DCE788B">
      <w:pPr>
        <w:pStyle w:val="5"/>
        <w:numPr>
          <w:ilvl w:val="0"/>
          <w:numId w:val="0"/>
        </w:numPr>
        <w:spacing w:line="360" w:lineRule="auto"/>
        <w:outlineLvl w:val="1"/>
        <w:rPr>
          <w:rFonts w:hint="eastAsia" w:ascii="仿宋" w:hAnsi="仿宋" w:eastAsia="仿宋" w:cs="仿宋"/>
          <w:b/>
          <w:bCs/>
          <w:color w:val="auto"/>
          <w:highlight w:val="none"/>
          <w:lang w:val="en-US" w:eastAsia="zh-CN"/>
        </w:rPr>
      </w:pPr>
    </w:p>
    <w:p w14:paraId="25CC896D">
      <w:pPr>
        <w:pStyle w:val="5"/>
        <w:numPr>
          <w:ilvl w:val="0"/>
          <w:numId w:val="0"/>
        </w:numPr>
        <w:spacing w:line="360" w:lineRule="auto"/>
        <w:outlineLvl w:val="1"/>
        <w:rPr>
          <w:rFonts w:hint="eastAsia" w:ascii="仿宋" w:hAnsi="仿宋" w:eastAsia="仿宋" w:cs="仿宋"/>
          <w:b/>
          <w:bCs/>
          <w:color w:val="auto"/>
          <w:highlight w:val="none"/>
          <w:lang w:val="en-US" w:eastAsia="zh-CN"/>
        </w:rPr>
      </w:pPr>
    </w:p>
    <w:p w14:paraId="30E0742C">
      <w:pPr>
        <w:pStyle w:val="5"/>
        <w:numPr>
          <w:ilvl w:val="0"/>
          <w:numId w:val="0"/>
        </w:numPr>
        <w:spacing w:line="360" w:lineRule="auto"/>
        <w:outlineLvl w:val="1"/>
        <w:rPr>
          <w:rFonts w:hint="eastAsia" w:ascii="仿宋" w:hAnsi="仿宋" w:eastAsia="仿宋" w:cs="仿宋"/>
          <w:b/>
          <w:bCs/>
          <w:color w:val="auto"/>
          <w:highlight w:val="none"/>
          <w:lang w:val="en-US" w:eastAsia="zh-CN"/>
        </w:rPr>
      </w:pPr>
    </w:p>
    <w:p w14:paraId="2DBF21E5">
      <w:pPr>
        <w:pStyle w:val="5"/>
        <w:numPr>
          <w:ilvl w:val="0"/>
          <w:numId w:val="0"/>
        </w:numPr>
        <w:spacing w:line="360" w:lineRule="auto"/>
        <w:outlineLvl w:val="1"/>
        <w:rPr>
          <w:rFonts w:hint="eastAsia" w:ascii="仿宋" w:hAnsi="仿宋" w:eastAsia="仿宋" w:cs="仿宋"/>
          <w:b/>
          <w:bCs/>
          <w:color w:val="auto"/>
          <w:highlight w:val="none"/>
          <w:lang w:val="en-US" w:eastAsia="zh-CN"/>
        </w:rPr>
      </w:pPr>
    </w:p>
    <w:p w14:paraId="117F064C">
      <w:pPr>
        <w:pStyle w:val="5"/>
        <w:numPr>
          <w:ilvl w:val="0"/>
          <w:numId w:val="0"/>
        </w:numPr>
        <w:spacing w:line="360" w:lineRule="auto"/>
        <w:outlineLvl w:val="1"/>
        <w:rPr>
          <w:rFonts w:hint="eastAsia" w:ascii="仿宋" w:hAnsi="仿宋" w:eastAsia="仿宋" w:cs="仿宋"/>
          <w:b/>
          <w:bCs/>
          <w:color w:val="auto"/>
          <w:highlight w:val="none"/>
          <w:lang w:val="en-US" w:eastAsia="zh-CN"/>
        </w:rPr>
        <w:sectPr>
          <w:pgSz w:w="11906" w:h="16838"/>
          <w:pgMar w:top="1418" w:right="1134" w:bottom="1134" w:left="1365" w:header="1134" w:footer="567" w:gutter="0"/>
          <w:pgNumType w:fmt="decimal"/>
          <w:cols w:space="720" w:num="1"/>
          <w:titlePg/>
          <w:docGrid w:type="lines" w:linePitch="312" w:charSpace="0"/>
        </w:sectPr>
      </w:pPr>
      <w:r>
        <w:rPr>
          <w:rFonts w:hint="eastAsia" w:ascii="仿宋" w:hAnsi="仿宋" w:eastAsia="仿宋" w:cs="仿宋"/>
          <w:b/>
          <w:bCs/>
          <w:color w:val="auto"/>
          <w:highlight w:val="none"/>
          <w:lang w:val="en-US" w:eastAsia="zh-CN"/>
        </w:rPr>
        <w:t>格式5 其它文件（如有）</w:t>
      </w:r>
    </w:p>
    <w:p w14:paraId="4861C236">
      <w:pPr>
        <w:spacing w:line="360" w:lineRule="auto"/>
        <w:jc w:val="both"/>
        <w:rPr>
          <w:rFonts w:hint="default"/>
          <w:b/>
          <w:color w:val="auto"/>
          <w:sz w:val="36"/>
          <w:szCs w:val="36"/>
          <w:highlight w:val="none"/>
          <w:lang w:val="en-US" w:eastAsia="zh-CN"/>
        </w:rPr>
      </w:pPr>
      <w:r>
        <w:rPr>
          <w:rFonts w:hint="eastAsia"/>
          <w:b/>
          <w:color w:val="auto"/>
          <w:sz w:val="36"/>
          <w:szCs w:val="36"/>
          <w:highlight w:val="none"/>
          <w:lang w:val="en-US" w:eastAsia="zh-CN"/>
        </w:rPr>
        <w:t>附件：</w:t>
      </w:r>
    </w:p>
    <w:p w14:paraId="55BB0221">
      <w:pPr>
        <w:spacing w:line="360" w:lineRule="auto"/>
        <w:jc w:val="center"/>
        <w:rPr>
          <w:rFonts w:hint="eastAsia"/>
          <w:b/>
          <w:color w:val="auto"/>
          <w:sz w:val="36"/>
          <w:szCs w:val="36"/>
          <w:highlight w:val="none"/>
          <w:lang w:eastAsia="zh-CN"/>
        </w:rPr>
      </w:pPr>
    </w:p>
    <w:p w14:paraId="14B83FB9">
      <w:pPr>
        <w:spacing w:line="360" w:lineRule="auto"/>
        <w:jc w:val="center"/>
        <w:rPr>
          <w:rFonts w:hint="eastAsia"/>
          <w:b/>
          <w:color w:val="auto"/>
          <w:sz w:val="36"/>
          <w:szCs w:val="36"/>
          <w:highlight w:val="none"/>
          <w:lang w:val="en-US" w:eastAsia="zh-CN"/>
        </w:rPr>
      </w:pPr>
      <w:r>
        <w:rPr>
          <w:rFonts w:hint="eastAsia"/>
          <w:b/>
          <w:color w:val="auto"/>
          <w:sz w:val="36"/>
          <w:szCs w:val="36"/>
          <w:highlight w:val="none"/>
          <w:lang w:eastAsia="zh-CN"/>
        </w:rPr>
        <w:t>普宁市市区环卫作业外包服务项目(2026-2029年)</w:t>
      </w:r>
      <w:r>
        <w:rPr>
          <w:b/>
          <w:color w:val="auto"/>
          <w:sz w:val="36"/>
          <w:szCs w:val="36"/>
          <w:highlight w:val="none"/>
        </w:rPr>
        <w:t>采购需求</w:t>
      </w:r>
      <w:r>
        <w:rPr>
          <w:rFonts w:hint="eastAsia"/>
          <w:b/>
          <w:color w:val="auto"/>
          <w:sz w:val="36"/>
          <w:szCs w:val="36"/>
          <w:highlight w:val="none"/>
          <w:lang w:val="en-US" w:eastAsia="zh-CN"/>
        </w:rPr>
        <w:t>书</w:t>
      </w:r>
    </w:p>
    <w:p w14:paraId="6F118988">
      <w:pPr>
        <w:spacing w:line="360" w:lineRule="auto"/>
        <w:jc w:val="center"/>
        <w:rPr>
          <w:rFonts w:hint="eastAsia"/>
          <w:b/>
          <w:color w:val="auto"/>
          <w:sz w:val="36"/>
          <w:szCs w:val="36"/>
          <w:highlight w:val="none"/>
          <w:lang w:val="en-US" w:eastAsia="zh-CN"/>
        </w:rPr>
      </w:pPr>
    </w:p>
    <w:p w14:paraId="19479EE7">
      <w:pPr>
        <w:spacing w:line="360" w:lineRule="auto"/>
        <w:rPr>
          <w:color w:val="auto"/>
          <w:sz w:val="24"/>
          <w:szCs w:val="24"/>
          <w:highlight w:val="none"/>
        </w:rPr>
      </w:pPr>
      <w:r>
        <w:rPr>
          <w:b/>
          <w:color w:val="auto"/>
          <w:sz w:val="24"/>
          <w:szCs w:val="24"/>
          <w:highlight w:val="none"/>
        </w:rPr>
        <w:t>一、项目概况：</w:t>
      </w:r>
      <w:bookmarkStart w:id="12" w:name="_GoBack"/>
      <w:bookmarkEnd w:id="12"/>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36"/>
        <w:gridCol w:w="841"/>
        <w:gridCol w:w="1880"/>
        <w:gridCol w:w="867"/>
        <w:gridCol w:w="1696"/>
        <w:gridCol w:w="1612"/>
        <w:gridCol w:w="1935"/>
      </w:tblGrid>
      <w:tr w14:paraId="71E01B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5" w:type="dxa"/>
            <w:tcBorders>
              <w:top w:val="single" w:color="000000" w:sz="8" w:space="0"/>
              <w:left w:val="single" w:color="000000" w:sz="8" w:space="0"/>
              <w:bottom w:val="single" w:color="000000" w:sz="8" w:space="0"/>
              <w:right w:val="single" w:color="000000" w:sz="8" w:space="0"/>
            </w:tcBorders>
            <w:vAlign w:val="center"/>
          </w:tcPr>
          <w:p w14:paraId="207B385E">
            <w:pPr>
              <w:spacing w:line="360" w:lineRule="auto"/>
              <w:jc w:val="center"/>
              <w:rPr>
                <w:b/>
                <w:bCs/>
                <w:color w:val="auto"/>
                <w:sz w:val="24"/>
                <w:szCs w:val="24"/>
                <w:highlight w:val="none"/>
              </w:rPr>
            </w:pPr>
          </w:p>
          <w:p w14:paraId="40AC8A98">
            <w:pPr>
              <w:spacing w:line="360" w:lineRule="auto"/>
              <w:jc w:val="center"/>
              <w:rPr>
                <w:b/>
                <w:bCs/>
                <w:color w:val="auto"/>
                <w:sz w:val="24"/>
                <w:szCs w:val="24"/>
                <w:highlight w:val="none"/>
              </w:rPr>
            </w:pPr>
            <w:r>
              <w:rPr>
                <w:b/>
                <w:bCs/>
                <w:color w:val="auto"/>
                <w:sz w:val="24"/>
                <w:szCs w:val="24"/>
                <w:highlight w:val="none"/>
              </w:rPr>
              <w:t>项目名称</w:t>
            </w:r>
          </w:p>
          <w:p w14:paraId="761DC5BE">
            <w:pPr>
              <w:spacing w:line="360" w:lineRule="auto"/>
              <w:jc w:val="center"/>
              <w:rPr>
                <w:b/>
                <w:bCs/>
                <w:color w:val="auto"/>
                <w:sz w:val="24"/>
                <w:szCs w:val="24"/>
                <w:highlight w:val="none"/>
              </w:rPr>
            </w:pPr>
          </w:p>
        </w:tc>
        <w:tc>
          <w:tcPr>
            <w:tcW w:w="841" w:type="dxa"/>
            <w:tcBorders>
              <w:top w:val="single" w:color="000000" w:sz="8" w:space="0"/>
              <w:left w:val="nil"/>
              <w:bottom w:val="single" w:color="000000" w:sz="8" w:space="0"/>
              <w:right w:val="single" w:color="000000" w:sz="8" w:space="0"/>
            </w:tcBorders>
            <w:vAlign w:val="center"/>
          </w:tcPr>
          <w:p w14:paraId="6EA0CE8C">
            <w:pPr>
              <w:spacing w:line="360" w:lineRule="auto"/>
              <w:jc w:val="center"/>
              <w:rPr>
                <w:b/>
                <w:bCs/>
                <w:color w:val="auto"/>
                <w:sz w:val="24"/>
                <w:szCs w:val="24"/>
                <w:highlight w:val="none"/>
              </w:rPr>
            </w:pPr>
            <w:r>
              <w:rPr>
                <w:b/>
                <w:bCs/>
                <w:color w:val="auto"/>
                <w:sz w:val="24"/>
                <w:szCs w:val="24"/>
                <w:highlight w:val="none"/>
              </w:rPr>
              <w:t>采购包</w:t>
            </w:r>
          </w:p>
        </w:tc>
        <w:tc>
          <w:tcPr>
            <w:tcW w:w="1880" w:type="dxa"/>
            <w:tcBorders>
              <w:top w:val="single" w:color="000000" w:sz="8" w:space="0"/>
              <w:left w:val="nil"/>
              <w:bottom w:val="single" w:color="000000" w:sz="8" w:space="0"/>
              <w:right w:val="single" w:color="000000" w:sz="8" w:space="0"/>
            </w:tcBorders>
            <w:vAlign w:val="center"/>
          </w:tcPr>
          <w:p w14:paraId="46EE3D09">
            <w:pPr>
              <w:spacing w:line="360" w:lineRule="auto"/>
              <w:jc w:val="center"/>
              <w:rPr>
                <w:b/>
                <w:bCs/>
                <w:color w:val="auto"/>
                <w:sz w:val="24"/>
                <w:szCs w:val="24"/>
                <w:highlight w:val="none"/>
              </w:rPr>
            </w:pPr>
            <w:r>
              <w:rPr>
                <w:b/>
                <w:bCs/>
                <w:color w:val="auto"/>
                <w:sz w:val="24"/>
                <w:szCs w:val="24"/>
                <w:highlight w:val="none"/>
              </w:rPr>
              <w:t>采购包名称</w:t>
            </w:r>
          </w:p>
        </w:tc>
        <w:tc>
          <w:tcPr>
            <w:tcW w:w="867" w:type="dxa"/>
            <w:tcBorders>
              <w:top w:val="single" w:color="000000" w:sz="8" w:space="0"/>
              <w:left w:val="nil"/>
              <w:bottom w:val="single" w:color="000000" w:sz="8" w:space="0"/>
              <w:right w:val="single" w:color="000000" w:sz="8" w:space="0"/>
            </w:tcBorders>
            <w:vAlign w:val="center"/>
          </w:tcPr>
          <w:p w14:paraId="45DFC801">
            <w:pPr>
              <w:spacing w:line="360" w:lineRule="auto"/>
              <w:jc w:val="center"/>
              <w:rPr>
                <w:b/>
                <w:bCs/>
                <w:color w:val="auto"/>
                <w:sz w:val="24"/>
                <w:szCs w:val="24"/>
                <w:highlight w:val="none"/>
              </w:rPr>
            </w:pPr>
            <w:r>
              <w:rPr>
                <w:b/>
                <w:bCs/>
                <w:color w:val="auto"/>
                <w:sz w:val="24"/>
                <w:szCs w:val="24"/>
                <w:highlight w:val="none"/>
              </w:rPr>
              <w:t xml:space="preserve">数量 </w:t>
            </w:r>
          </w:p>
        </w:tc>
        <w:tc>
          <w:tcPr>
            <w:tcW w:w="1696" w:type="dxa"/>
            <w:tcBorders>
              <w:top w:val="single" w:color="000000" w:sz="8" w:space="0"/>
              <w:left w:val="nil"/>
              <w:bottom w:val="single" w:color="000000" w:sz="8" w:space="0"/>
              <w:right w:val="single" w:color="000000" w:sz="8" w:space="0"/>
            </w:tcBorders>
            <w:vAlign w:val="center"/>
          </w:tcPr>
          <w:p w14:paraId="2FD89141">
            <w:pPr>
              <w:spacing w:line="360" w:lineRule="auto"/>
              <w:jc w:val="center"/>
              <w:rPr>
                <w:b/>
                <w:bCs/>
                <w:color w:val="auto"/>
                <w:sz w:val="24"/>
                <w:szCs w:val="24"/>
                <w:highlight w:val="none"/>
              </w:rPr>
            </w:pPr>
            <w:r>
              <w:rPr>
                <w:rFonts w:hint="eastAsia"/>
                <w:b/>
                <w:bCs/>
                <w:color w:val="auto"/>
                <w:sz w:val="24"/>
                <w:szCs w:val="24"/>
                <w:highlight w:val="none"/>
                <w:lang w:val="en-US" w:eastAsia="zh-CN"/>
              </w:rPr>
              <w:t>预算金额</w:t>
            </w:r>
            <w:r>
              <w:rPr>
                <w:b/>
                <w:bCs/>
                <w:color w:val="auto"/>
                <w:sz w:val="24"/>
                <w:szCs w:val="24"/>
                <w:highlight w:val="none"/>
              </w:rPr>
              <w:t>（人民币/元/1年）</w:t>
            </w:r>
          </w:p>
        </w:tc>
        <w:tc>
          <w:tcPr>
            <w:tcW w:w="1612" w:type="dxa"/>
            <w:tcBorders>
              <w:top w:val="single" w:color="000000" w:sz="8" w:space="0"/>
              <w:left w:val="nil"/>
              <w:bottom w:val="single" w:color="000000" w:sz="8" w:space="0"/>
              <w:right w:val="single" w:color="000000" w:sz="8" w:space="0"/>
            </w:tcBorders>
            <w:vAlign w:val="center"/>
          </w:tcPr>
          <w:p w14:paraId="6C2B0135">
            <w:pPr>
              <w:spacing w:line="360" w:lineRule="auto"/>
              <w:jc w:val="center"/>
              <w:rPr>
                <w:b/>
                <w:bCs/>
                <w:color w:val="auto"/>
                <w:sz w:val="24"/>
                <w:szCs w:val="24"/>
                <w:highlight w:val="none"/>
              </w:rPr>
            </w:pPr>
            <w:r>
              <w:rPr>
                <w:rFonts w:hint="eastAsia"/>
                <w:b/>
                <w:bCs/>
                <w:color w:val="auto"/>
                <w:sz w:val="24"/>
                <w:szCs w:val="24"/>
                <w:highlight w:val="none"/>
                <w:lang w:val="en-US" w:eastAsia="zh-CN"/>
              </w:rPr>
              <w:t>预算金额</w:t>
            </w:r>
            <w:r>
              <w:rPr>
                <w:b/>
                <w:bCs/>
                <w:color w:val="auto"/>
                <w:sz w:val="24"/>
                <w:szCs w:val="24"/>
                <w:highlight w:val="none"/>
              </w:rPr>
              <w:t>（人民币/元/3年）</w:t>
            </w:r>
          </w:p>
        </w:tc>
        <w:tc>
          <w:tcPr>
            <w:tcW w:w="1935" w:type="dxa"/>
            <w:tcBorders>
              <w:top w:val="single" w:color="000000" w:sz="8" w:space="0"/>
              <w:left w:val="nil"/>
              <w:bottom w:val="single" w:color="000000" w:sz="8" w:space="0"/>
              <w:right w:val="single" w:color="000000" w:sz="8" w:space="0"/>
            </w:tcBorders>
            <w:vAlign w:val="center"/>
          </w:tcPr>
          <w:p w14:paraId="5CF031DC">
            <w:pPr>
              <w:spacing w:line="360" w:lineRule="auto"/>
              <w:jc w:val="center"/>
              <w:rPr>
                <w:b/>
                <w:bCs/>
                <w:color w:val="auto"/>
                <w:sz w:val="24"/>
                <w:szCs w:val="24"/>
                <w:highlight w:val="none"/>
              </w:rPr>
            </w:pPr>
            <w:r>
              <w:rPr>
                <w:b/>
                <w:bCs/>
                <w:color w:val="auto"/>
                <w:sz w:val="24"/>
                <w:szCs w:val="24"/>
                <w:highlight w:val="none"/>
              </w:rPr>
              <w:t>合同履行期限</w:t>
            </w:r>
          </w:p>
        </w:tc>
      </w:tr>
      <w:tr w14:paraId="2FE85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135" w:type="dxa"/>
            <w:vMerge w:val="restart"/>
            <w:tcBorders>
              <w:top w:val="nil"/>
              <w:left w:val="single" w:color="000000" w:sz="8" w:space="0"/>
              <w:bottom w:val="single" w:color="000000" w:sz="8" w:space="0"/>
              <w:right w:val="single" w:color="000000" w:sz="8" w:space="0"/>
            </w:tcBorders>
            <w:vAlign w:val="center"/>
          </w:tcPr>
          <w:p w14:paraId="3BF21D46">
            <w:pPr>
              <w:spacing w:line="360" w:lineRule="auto"/>
              <w:jc w:val="center"/>
              <w:rPr>
                <w:rFonts w:hint="eastAsia" w:eastAsiaTheme="minorEastAsia"/>
                <w:color w:val="auto"/>
                <w:sz w:val="24"/>
                <w:szCs w:val="24"/>
                <w:highlight w:val="none"/>
                <w:lang w:val="en-US" w:eastAsia="zh-CN"/>
              </w:rPr>
            </w:pPr>
            <w:r>
              <w:rPr>
                <w:rFonts w:hint="eastAsia"/>
                <w:color w:val="auto"/>
                <w:sz w:val="24"/>
                <w:szCs w:val="24"/>
                <w:highlight w:val="none"/>
                <w:lang w:eastAsia="zh-CN"/>
              </w:rPr>
              <w:t>普宁市市区环卫作业外包服务项目(2026-2029年)</w:t>
            </w:r>
          </w:p>
        </w:tc>
        <w:tc>
          <w:tcPr>
            <w:tcW w:w="841" w:type="dxa"/>
            <w:tcBorders>
              <w:top w:val="nil"/>
              <w:left w:val="nil"/>
              <w:bottom w:val="single" w:color="000000" w:sz="8" w:space="0"/>
              <w:right w:val="single" w:color="000000" w:sz="8" w:space="0"/>
            </w:tcBorders>
            <w:vAlign w:val="center"/>
          </w:tcPr>
          <w:p w14:paraId="65BE86BE">
            <w:pPr>
              <w:spacing w:line="360" w:lineRule="auto"/>
              <w:jc w:val="center"/>
              <w:rPr>
                <w:color w:val="auto"/>
                <w:sz w:val="24"/>
                <w:szCs w:val="24"/>
                <w:highlight w:val="none"/>
              </w:rPr>
            </w:pPr>
            <w:r>
              <w:rPr>
                <w:color w:val="auto"/>
                <w:sz w:val="24"/>
                <w:szCs w:val="24"/>
                <w:highlight w:val="none"/>
              </w:rPr>
              <w:t>1</w:t>
            </w:r>
          </w:p>
        </w:tc>
        <w:tc>
          <w:tcPr>
            <w:tcW w:w="1880" w:type="dxa"/>
            <w:tcBorders>
              <w:top w:val="nil"/>
              <w:left w:val="nil"/>
              <w:bottom w:val="single" w:color="000000" w:sz="8" w:space="0"/>
              <w:right w:val="single" w:color="000000" w:sz="8" w:space="0"/>
            </w:tcBorders>
            <w:vAlign w:val="center"/>
          </w:tcPr>
          <w:p w14:paraId="4813BEB1">
            <w:pPr>
              <w:spacing w:line="360" w:lineRule="auto"/>
              <w:jc w:val="center"/>
              <w:rPr>
                <w:rFonts w:hint="eastAsia" w:eastAsiaTheme="minorEastAsia"/>
                <w:color w:val="auto"/>
                <w:sz w:val="24"/>
                <w:szCs w:val="24"/>
                <w:highlight w:val="none"/>
                <w:lang w:eastAsia="zh-CN"/>
              </w:rPr>
            </w:pPr>
            <w:r>
              <w:rPr>
                <w:color w:val="auto"/>
                <w:sz w:val="24"/>
                <w:szCs w:val="24"/>
                <w:highlight w:val="none"/>
              </w:rPr>
              <w:t>普宁市市区环卫作业外包服务</w:t>
            </w:r>
            <w:r>
              <w:rPr>
                <w:rFonts w:hint="eastAsia"/>
                <w:color w:val="auto"/>
                <w:sz w:val="24"/>
                <w:szCs w:val="24"/>
                <w:highlight w:val="none"/>
                <w:lang w:eastAsia="zh-CN"/>
              </w:rPr>
              <w:t>（</w:t>
            </w:r>
            <w:r>
              <w:rPr>
                <w:color w:val="auto"/>
                <w:sz w:val="24"/>
                <w:szCs w:val="24"/>
                <w:highlight w:val="none"/>
              </w:rPr>
              <w:t>东片区</w:t>
            </w:r>
            <w:r>
              <w:rPr>
                <w:rFonts w:hint="eastAsia"/>
                <w:color w:val="auto"/>
                <w:sz w:val="24"/>
                <w:szCs w:val="24"/>
                <w:highlight w:val="none"/>
                <w:lang w:eastAsia="zh-CN"/>
              </w:rPr>
              <w:t>）</w:t>
            </w:r>
          </w:p>
        </w:tc>
        <w:tc>
          <w:tcPr>
            <w:tcW w:w="867" w:type="dxa"/>
            <w:tcBorders>
              <w:top w:val="nil"/>
              <w:left w:val="nil"/>
              <w:bottom w:val="single" w:color="000000" w:sz="8" w:space="0"/>
              <w:right w:val="single" w:color="000000" w:sz="8" w:space="0"/>
            </w:tcBorders>
            <w:vAlign w:val="center"/>
          </w:tcPr>
          <w:p w14:paraId="4C51DE32">
            <w:pPr>
              <w:spacing w:line="360" w:lineRule="auto"/>
              <w:jc w:val="center"/>
              <w:rPr>
                <w:color w:val="auto"/>
                <w:sz w:val="24"/>
                <w:szCs w:val="24"/>
                <w:highlight w:val="none"/>
              </w:rPr>
            </w:pPr>
            <w:r>
              <w:rPr>
                <w:color w:val="auto"/>
                <w:sz w:val="24"/>
                <w:szCs w:val="24"/>
                <w:highlight w:val="none"/>
              </w:rPr>
              <w:t>3年</w:t>
            </w:r>
          </w:p>
        </w:tc>
        <w:tc>
          <w:tcPr>
            <w:tcW w:w="1696" w:type="dxa"/>
            <w:tcBorders>
              <w:top w:val="nil"/>
              <w:left w:val="nil"/>
              <w:bottom w:val="single" w:color="000000" w:sz="8" w:space="0"/>
              <w:right w:val="single" w:color="000000" w:sz="8" w:space="0"/>
            </w:tcBorders>
            <w:vAlign w:val="center"/>
          </w:tcPr>
          <w:p w14:paraId="4F08B9F6">
            <w:pPr>
              <w:spacing w:line="360" w:lineRule="auto"/>
              <w:jc w:val="center"/>
              <w:rPr>
                <w:color w:val="auto"/>
                <w:sz w:val="24"/>
                <w:szCs w:val="24"/>
                <w:highlight w:val="none"/>
              </w:rPr>
            </w:pPr>
            <w:r>
              <w:rPr>
                <w:rFonts w:hint="eastAsia"/>
                <w:color w:val="auto"/>
                <w:sz w:val="24"/>
                <w:szCs w:val="24"/>
                <w:highlight w:val="none"/>
                <w:lang w:eastAsia="zh-CN"/>
              </w:rPr>
              <w:t>38841890</w:t>
            </w:r>
            <w:r>
              <w:rPr>
                <w:rFonts w:hint="eastAsia"/>
                <w:color w:val="auto"/>
                <w:sz w:val="24"/>
                <w:szCs w:val="24"/>
                <w:highlight w:val="none"/>
              </w:rPr>
              <w:t>.</w:t>
            </w:r>
            <w:r>
              <w:rPr>
                <w:rFonts w:hint="eastAsia"/>
                <w:color w:val="auto"/>
                <w:sz w:val="24"/>
                <w:szCs w:val="24"/>
                <w:highlight w:val="none"/>
                <w:lang w:eastAsia="zh-CN"/>
              </w:rPr>
              <w:t>62</w:t>
            </w:r>
          </w:p>
        </w:tc>
        <w:tc>
          <w:tcPr>
            <w:tcW w:w="1612" w:type="dxa"/>
            <w:tcBorders>
              <w:top w:val="nil"/>
              <w:left w:val="nil"/>
              <w:bottom w:val="single" w:color="000000" w:sz="8" w:space="0"/>
              <w:right w:val="single" w:color="000000" w:sz="8" w:space="0"/>
            </w:tcBorders>
            <w:vAlign w:val="center"/>
          </w:tcPr>
          <w:p w14:paraId="7912CD31">
            <w:pPr>
              <w:spacing w:line="360" w:lineRule="auto"/>
              <w:jc w:val="center"/>
              <w:rPr>
                <w:color w:val="auto"/>
                <w:sz w:val="24"/>
                <w:szCs w:val="24"/>
                <w:highlight w:val="none"/>
              </w:rPr>
            </w:pPr>
            <w:r>
              <w:rPr>
                <w:rFonts w:hint="eastAsia"/>
                <w:color w:val="auto"/>
                <w:sz w:val="24"/>
                <w:szCs w:val="24"/>
                <w:highlight w:val="none"/>
              </w:rPr>
              <w:t>116525671.86</w:t>
            </w:r>
          </w:p>
        </w:tc>
        <w:tc>
          <w:tcPr>
            <w:tcW w:w="1935" w:type="dxa"/>
            <w:tcBorders>
              <w:top w:val="nil"/>
              <w:left w:val="nil"/>
              <w:bottom w:val="single" w:color="000000" w:sz="8" w:space="0"/>
              <w:right w:val="single" w:color="000000" w:sz="8" w:space="0"/>
            </w:tcBorders>
            <w:vAlign w:val="center"/>
          </w:tcPr>
          <w:p w14:paraId="2593328B">
            <w:pPr>
              <w:spacing w:line="360" w:lineRule="auto"/>
              <w:jc w:val="center"/>
              <w:rPr>
                <w:color w:val="auto"/>
                <w:sz w:val="24"/>
                <w:szCs w:val="24"/>
                <w:highlight w:val="none"/>
              </w:rPr>
            </w:pPr>
            <w:r>
              <w:rPr>
                <w:color w:val="auto"/>
                <w:sz w:val="24"/>
                <w:szCs w:val="24"/>
                <w:highlight w:val="none"/>
              </w:rPr>
              <w:t>合同生效之日起3年。</w:t>
            </w:r>
          </w:p>
        </w:tc>
      </w:tr>
      <w:tr w14:paraId="17FB5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5" w:type="dxa"/>
            <w:vMerge w:val="continue"/>
            <w:tcBorders>
              <w:top w:val="nil"/>
              <w:left w:val="single" w:color="000000" w:sz="8" w:space="0"/>
              <w:bottom w:val="single" w:color="000000" w:sz="8" w:space="0"/>
              <w:right w:val="single" w:color="000000" w:sz="8" w:space="0"/>
            </w:tcBorders>
            <w:vAlign w:val="center"/>
          </w:tcPr>
          <w:p w14:paraId="5C72C077">
            <w:pPr>
              <w:spacing w:line="360" w:lineRule="auto"/>
              <w:jc w:val="center"/>
              <w:rPr>
                <w:color w:val="auto"/>
                <w:sz w:val="24"/>
                <w:szCs w:val="24"/>
                <w:highlight w:val="none"/>
              </w:rPr>
            </w:pPr>
          </w:p>
        </w:tc>
        <w:tc>
          <w:tcPr>
            <w:tcW w:w="841" w:type="dxa"/>
            <w:tcBorders>
              <w:top w:val="nil"/>
              <w:left w:val="nil"/>
              <w:bottom w:val="single" w:color="000000" w:sz="8" w:space="0"/>
              <w:right w:val="single" w:color="000000" w:sz="8" w:space="0"/>
            </w:tcBorders>
            <w:vAlign w:val="center"/>
          </w:tcPr>
          <w:p w14:paraId="72C2921A">
            <w:pPr>
              <w:spacing w:line="360" w:lineRule="auto"/>
              <w:jc w:val="center"/>
              <w:rPr>
                <w:color w:val="auto"/>
                <w:sz w:val="24"/>
                <w:szCs w:val="24"/>
                <w:highlight w:val="none"/>
              </w:rPr>
            </w:pPr>
            <w:r>
              <w:rPr>
                <w:color w:val="auto"/>
                <w:sz w:val="24"/>
                <w:szCs w:val="24"/>
                <w:highlight w:val="none"/>
              </w:rPr>
              <w:t>2</w:t>
            </w:r>
          </w:p>
        </w:tc>
        <w:tc>
          <w:tcPr>
            <w:tcW w:w="1880" w:type="dxa"/>
            <w:tcBorders>
              <w:top w:val="nil"/>
              <w:left w:val="nil"/>
              <w:bottom w:val="single" w:color="000000" w:sz="8" w:space="0"/>
              <w:right w:val="single" w:color="000000" w:sz="8" w:space="0"/>
            </w:tcBorders>
            <w:vAlign w:val="center"/>
          </w:tcPr>
          <w:p w14:paraId="074EC255">
            <w:pPr>
              <w:spacing w:line="360" w:lineRule="auto"/>
              <w:jc w:val="center"/>
              <w:rPr>
                <w:color w:val="auto"/>
                <w:sz w:val="24"/>
                <w:szCs w:val="24"/>
                <w:highlight w:val="none"/>
              </w:rPr>
            </w:pPr>
            <w:r>
              <w:rPr>
                <w:color w:val="auto"/>
                <w:sz w:val="24"/>
                <w:szCs w:val="24"/>
                <w:highlight w:val="none"/>
              </w:rPr>
              <w:t>普宁市市区环卫作业外包服务</w:t>
            </w:r>
            <w:r>
              <w:rPr>
                <w:rFonts w:hint="eastAsia"/>
                <w:color w:val="auto"/>
                <w:sz w:val="24"/>
                <w:szCs w:val="24"/>
                <w:highlight w:val="none"/>
                <w:lang w:eastAsia="zh-CN"/>
              </w:rPr>
              <w:t>（</w:t>
            </w:r>
            <w:r>
              <w:rPr>
                <w:rFonts w:hint="eastAsia"/>
                <w:color w:val="auto"/>
                <w:sz w:val="24"/>
                <w:szCs w:val="24"/>
                <w:highlight w:val="none"/>
                <w:lang w:val="en-US" w:eastAsia="zh-CN"/>
              </w:rPr>
              <w:t>西</w:t>
            </w:r>
            <w:r>
              <w:rPr>
                <w:color w:val="auto"/>
                <w:sz w:val="24"/>
                <w:szCs w:val="24"/>
                <w:highlight w:val="none"/>
              </w:rPr>
              <w:t>片区</w:t>
            </w:r>
            <w:r>
              <w:rPr>
                <w:rFonts w:hint="eastAsia"/>
                <w:color w:val="auto"/>
                <w:sz w:val="24"/>
                <w:szCs w:val="24"/>
                <w:highlight w:val="none"/>
                <w:lang w:eastAsia="zh-CN"/>
              </w:rPr>
              <w:t>）</w:t>
            </w:r>
          </w:p>
        </w:tc>
        <w:tc>
          <w:tcPr>
            <w:tcW w:w="867" w:type="dxa"/>
            <w:tcBorders>
              <w:top w:val="nil"/>
              <w:left w:val="nil"/>
              <w:bottom w:val="single" w:color="000000" w:sz="8" w:space="0"/>
              <w:right w:val="single" w:color="000000" w:sz="8" w:space="0"/>
            </w:tcBorders>
            <w:vAlign w:val="center"/>
          </w:tcPr>
          <w:p w14:paraId="66F4C2A2">
            <w:pPr>
              <w:spacing w:line="360" w:lineRule="auto"/>
              <w:jc w:val="center"/>
              <w:rPr>
                <w:color w:val="auto"/>
                <w:sz w:val="24"/>
                <w:szCs w:val="24"/>
                <w:highlight w:val="none"/>
              </w:rPr>
            </w:pPr>
            <w:r>
              <w:rPr>
                <w:color w:val="auto"/>
                <w:sz w:val="24"/>
                <w:szCs w:val="24"/>
                <w:highlight w:val="none"/>
              </w:rPr>
              <w:t>3年</w:t>
            </w:r>
          </w:p>
        </w:tc>
        <w:tc>
          <w:tcPr>
            <w:tcW w:w="1696" w:type="dxa"/>
            <w:tcBorders>
              <w:top w:val="nil"/>
              <w:left w:val="nil"/>
              <w:bottom w:val="single" w:color="000000" w:sz="8" w:space="0"/>
              <w:right w:val="single" w:color="000000" w:sz="8" w:space="0"/>
            </w:tcBorders>
            <w:vAlign w:val="center"/>
          </w:tcPr>
          <w:p w14:paraId="09FD8839">
            <w:pPr>
              <w:spacing w:line="360" w:lineRule="auto"/>
              <w:jc w:val="center"/>
              <w:rPr>
                <w:color w:val="auto"/>
                <w:sz w:val="24"/>
                <w:szCs w:val="24"/>
                <w:highlight w:val="none"/>
              </w:rPr>
            </w:pPr>
            <w:r>
              <w:rPr>
                <w:rFonts w:hint="eastAsia"/>
                <w:color w:val="auto"/>
                <w:sz w:val="24"/>
                <w:szCs w:val="24"/>
                <w:highlight w:val="none"/>
                <w:lang w:eastAsia="zh-CN"/>
              </w:rPr>
              <w:t>47100842</w:t>
            </w:r>
            <w:r>
              <w:rPr>
                <w:rFonts w:hint="eastAsia"/>
                <w:color w:val="auto"/>
                <w:sz w:val="24"/>
                <w:szCs w:val="24"/>
                <w:highlight w:val="none"/>
              </w:rPr>
              <w:t>.</w:t>
            </w:r>
            <w:r>
              <w:rPr>
                <w:rFonts w:hint="eastAsia"/>
                <w:color w:val="auto"/>
                <w:sz w:val="24"/>
                <w:szCs w:val="24"/>
                <w:highlight w:val="none"/>
                <w:lang w:eastAsia="zh-CN"/>
              </w:rPr>
              <w:t>09</w:t>
            </w:r>
          </w:p>
        </w:tc>
        <w:tc>
          <w:tcPr>
            <w:tcW w:w="1612" w:type="dxa"/>
            <w:tcBorders>
              <w:top w:val="nil"/>
              <w:left w:val="nil"/>
              <w:bottom w:val="single" w:color="000000" w:sz="8" w:space="0"/>
              <w:right w:val="single" w:color="000000" w:sz="8" w:space="0"/>
            </w:tcBorders>
            <w:vAlign w:val="center"/>
          </w:tcPr>
          <w:p w14:paraId="18CD8E68">
            <w:pPr>
              <w:spacing w:line="360" w:lineRule="auto"/>
              <w:jc w:val="center"/>
              <w:rPr>
                <w:color w:val="auto"/>
                <w:sz w:val="24"/>
                <w:szCs w:val="24"/>
                <w:highlight w:val="none"/>
              </w:rPr>
            </w:pPr>
            <w:r>
              <w:rPr>
                <w:rFonts w:hint="eastAsia"/>
                <w:color w:val="auto"/>
                <w:sz w:val="24"/>
                <w:szCs w:val="24"/>
                <w:highlight w:val="none"/>
                <w:lang w:eastAsia="zh-CN"/>
              </w:rPr>
              <w:t>141302526.27</w:t>
            </w:r>
          </w:p>
        </w:tc>
        <w:tc>
          <w:tcPr>
            <w:tcW w:w="1935" w:type="dxa"/>
            <w:tcBorders>
              <w:top w:val="nil"/>
              <w:left w:val="nil"/>
              <w:bottom w:val="single" w:color="000000" w:sz="8" w:space="0"/>
              <w:right w:val="single" w:color="000000" w:sz="8" w:space="0"/>
            </w:tcBorders>
            <w:vAlign w:val="center"/>
          </w:tcPr>
          <w:p w14:paraId="5AAA6A6A">
            <w:pPr>
              <w:spacing w:line="360" w:lineRule="auto"/>
              <w:jc w:val="center"/>
              <w:rPr>
                <w:color w:val="auto"/>
                <w:sz w:val="24"/>
                <w:szCs w:val="24"/>
                <w:highlight w:val="none"/>
              </w:rPr>
            </w:pPr>
            <w:r>
              <w:rPr>
                <w:color w:val="auto"/>
                <w:sz w:val="24"/>
                <w:szCs w:val="24"/>
                <w:highlight w:val="none"/>
              </w:rPr>
              <w:t>合同生效之日起3年。</w:t>
            </w:r>
          </w:p>
        </w:tc>
      </w:tr>
      <w:tr w14:paraId="52D2F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35" w:type="dxa"/>
            <w:vMerge w:val="continue"/>
            <w:tcBorders>
              <w:top w:val="nil"/>
              <w:left w:val="single" w:color="000000" w:sz="8" w:space="0"/>
              <w:bottom w:val="single" w:color="000000" w:sz="8" w:space="0"/>
              <w:right w:val="single" w:color="000000" w:sz="8" w:space="0"/>
            </w:tcBorders>
            <w:vAlign w:val="center"/>
          </w:tcPr>
          <w:p w14:paraId="60359C23">
            <w:pPr>
              <w:spacing w:line="360" w:lineRule="auto"/>
              <w:jc w:val="center"/>
              <w:rPr>
                <w:color w:val="auto"/>
                <w:sz w:val="24"/>
                <w:szCs w:val="24"/>
                <w:highlight w:val="none"/>
              </w:rPr>
            </w:pPr>
          </w:p>
        </w:tc>
        <w:tc>
          <w:tcPr>
            <w:tcW w:w="3588" w:type="dxa"/>
            <w:gridSpan w:val="3"/>
            <w:tcBorders>
              <w:top w:val="nil"/>
              <w:left w:val="nil"/>
              <w:bottom w:val="single" w:color="000000" w:sz="8" w:space="0"/>
              <w:right w:val="single" w:color="000000" w:sz="8" w:space="0"/>
            </w:tcBorders>
            <w:vAlign w:val="center"/>
          </w:tcPr>
          <w:p w14:paraId="3CF3A226">
            <w:pPr>
              <w:spacing w:line="360" w:lineRule="auto"/>
              <w:jc w:val="center"/>
              <w:rPr>
                <w:rFonts w:hint="default" w:eastAsiaTheme="minorEastAsia"/>
                <w:color w:val="auto"/>
                <w:sz w:val="24"/>
                <w:szCs w:val="24"/>
                <w:highlight w:val="none"/>
                <w:lang w:val="en-US" w:eastAsia="zh-CN"/>
              </w:rPr>
            </w:pPr>
            <w:r>
              <w:rPr>
                <w:color w:val="auto"/>
                <w:sz w:val="24"/>
                <w:szCs w:val="24"/>
                <w:highlight w:val="none"/>
              </w:rPr>
              <w:t>本项目</w:t>
            </w:r>
            <w:r>
              <w:rPr>
                <w:rFonts w:hint="eastAsia"/>
                <w:color w:val="auto"/>
                <w:sz w:val="24"/>
                <w:szCs w:val="24"/>
                <w:highlight w:val="none"/>
                <w:lang w:val="en-US" w:eastAsia="zh-CN"/>
              </w:rPr>
              <w:t>预算金额</w:t>
            </w:r>
          </w:p>
        </w:tc>
        <w:tc>
          <w:tcPr>
            <w:tcW w:w="1696" w:type="dxa"/>
            <w:tcBorders>
              <w:top w:val="nil"/>
              <w:left w:val="nil"/>
              <w:bottom w:val="single" w:color="000000" w:sz="8" w:space="0"/>
              <w:right w:val="single" w:color="000000" w:sz="8" w:space="0"/>
            </w:tcBorders>
            <w:vAlign w:val="center"/>
          </w:tcPr>
          <w:p w14:paraId="1E85DAED">
            <w:pPr>
              <w:spacing w:line="360" w:lineRule="auto"/>
              <w:jc w:val="center"/>
              <w:rPr>
                <w:color w:val="auto"/>
                <w:sz w:val="24"/>
                <w:szCs w:val="24"/>
                <w:highlight w:val="none"/>
              </w:rPr>
            </w:pPr>
            <w:r>
              <w:rPr>
                <w:rFonts w:hint="eastAsia"/>
                <w:color w:val="auto"/>
                <w:sz w:val="24"/>
                <w:szCs w:val="24"/>
                <w:highlight w:val="none"/>
              </w:rPr>
              <w:t>85942732.71</w:t>
            </w:r>
          </w:p>
        </w:tc>
        <w:tc>
          <w:tcPr>
            <w:tcW w:w="1612" w:type="dxa"/>
            <w:tcBorders>
              <w:top w:val="nil"/>
              <w:left w:val="nil"/>
              <w:bottom w:val="single" w:color="000000" w:sz="8" w:space="0"/>
              <w:right w:val="single" w:color="000000" w:sz="8" w:space="0"/>
            </w:tcBorders>
            <w:vAlign w:val="center"/>
          </w:tcPr>
          <w:p w14:paraId="3EBF2F61">
            <w:pPr>
              <w:spacing w:line="360" w:lineRule="auto"/>
              <w:jc w:val="center"/>
              <w:rPr>
                <w:color w:val="auto"/>
                <w:sz w:val="24"/>
                <w:szCs w:val="24"/>
                <w:highlight w:val="none"/>
              </w:rPr>
            </w:pPr>
            <w:r>
              <w:rPr>
                <w:rFonts w:hint="eastAsia"/>
                <w:color w:val="auto"/>
                <w:sz w:val="24"/>
                <w:szCs w:val="24"/>
                <w:highlight w:val="none"/>
                <w:lang w:eastAsia="zh-CN"/>
              </w:rPr>
              <w:t>257828198</w:t>
            </w:r>
            <w:r>
              <w:rPr>
                <w:rFonts w:hint="eastAsia"/>
                <w:color w:val="auto"/>
                <w:sz w:val="24"/>
                <w:szCs w:val="24"/>
                <w:highlight w:val="none"/>
              </w:rPr>
              <w:t>.</w:t>
            </w:r>
            <w:r>
              <w:rPr>
                <w:rFonts w:hint="eastAsia"/>
                <w:color w:val="auto"/>
                <w:sz w:val="24"/>
                <w:szCs w:val="24"/>
                <w:highlight w:val="none"/>
                <w:lang w:eastAsia="zh-CN"/>
              </w:rPr>
              <w:t>13</w:t>
            </w:r>
          </w:p>
        </w:tc>
        <w:tc>
          <w:tcPr>
            <w:tcW w:w="1935" w:type="dxa"/>
            <w:tcBorders>
              <w:top w:val="nil"/>
              <w:left w:val="nil"/>
              <w:bottom w:val="single" w:color="000000" w:sz="8" w:space="0"/>
              <w:right w:val="single" w:color="000000" w:sz="8" w:space="0"/>
            </w:tcBorders>
            <w:vAlign w:val="center"/>
          </w:tcPr>
          <w:p w14:paraId="09DF4FAD">
            <w:pPr>
              <w:spacing w:line="360" w:lineRule="auto"/>
              <w:jc w:val="center"/>
              <w:rPr>
                <w:color w:val="auto"/>
                <w:sz w:val="24"/>
                <w:szCs w:val="24"/>
                <w:highlight w:val="none"/>
              </w:rPr>
            </w:pPr>
          </w:p>
        </w:tc>
      </w:tr>
      <w:tr w14:paraId="508FCC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6" w:type="dxa"/>
            <w:gridSpan w:val="7"/>
            <w:tcBorders>
              <w:top w:val="nil"/>
              <w:left w:val="single" w:color="000000" w:sz="8" w:space="0"/>
              <w:bottom w:val="single" w:color="000000" w:sz="8" w:space="0"/>
              <w:right w:val="single" w:color="000000" w:sz="8" w:space="0"/>
            </w:tcBorders>
            <w:vAlign w:val="center"/>
          </w:tcPr>
          <w:p w14:paraId="31C7B1A7">
            <w:pPr>
              <w:spacing w:line="360" w:lineRule="auto"/>
              <w:jc w:val="left"/>
              <w:rPr>
                <w:color w:val="auto"/>
                <w:sz w:val="24"/>
                <w:szCs w:val="24"/>
                <w:highlight w:val="none"/>
              </w:rPr>
            </w:pPr>
            <w:r>
              <w:rPr>
                <w:color w:val="auto"/>
                <w:sz w:val="24"/>
                <w:szCs w:val="24"/>
                <w:highlight w:val="none"/>
              </w:rPr>
              <w:t>说明：</w:t>
            </w:r>
          </w:p>
          <w:p w14:paraId="013CC4E1">
            <w:pPr>
              <w:spacing w:line="360" w:lineRule="auto"/>
              <w:jc w:val="left"/>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.本项目分为两个采购包，可兼投不兼中。</w:t>
            </w:r>
          </w:p>
          <w:p w14:paraId="6E5FA241">
            <w:pPr>
              <w:spacing w:line="360" w:lineRule="auto"/>
              <w:jc w:val="left"/>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本项目兼投不兼中，每个投标人最多只能被确定为1个</w:t>
            </w:r>
            <w:r>
              <w:rPr>
                <w:rFonts w:hint="eastAsia"/>
                <w:color w:val="auto"/>
                <w:sz w:val="24"/>
                <w:szCs w:val="24"/>
                <w:highlight w:val="none"/>
                <w:lang w:val="en-US" w:eastAsia="zh-CN"/>
              </w:rPr>
              <w:t>采购</w:t>
            </w:r>
            <w:r>
              <w:rPr>
                <w:color w:val="auto"/>
                <w:sz w:val="24"/>
                <w:szCs w:val="24"/>
                <w:highlight w:val="none"/>
              </w:rPr>
              <w:t>包的第一中标候选人。本项目按</w:t>
            </w:r>
            <w:r>
              <w:rPr>
                <w:rFonts w:hint="eastAsia"/>
                <w:color w:val="auto"/>
                <w:sz w:val="24"/>
                <w:szCs w:val="24"/>
                <w:highlight w:val="none"/>
                <w:lang w:val="en-US" w:eastAsia="zh-CN"/>
              </w:rPr>
              <w:t>采购</w:t>
            </w:r>
            <w:r>
              <w:rPr>
                <w:color w:val="auto"/>
                <w:sz w:val="24"/>
                <w:szCs w:val="24"/>
                <w:highlight w:val="none"/>
              </w:rPr>
              <w:t>包的顺序进行评审，依次按照评标总得分由高到低的顺序，每</w:t>
            </w:r>
            <w:r>
              <w:rPr>
                <w:rFonts w:hint="eastAsia"/>
                <w:color w:val="auto"/>
                <w:sz w:val="24"/>
                <w:szCs w:val="24"/>
                <w:highlight w:val="none"/>
                <w:lang w:val="en-US" w:eastAsia="zh-CN"/>
              </w:rPr>
              <w:t>采购</w:t>
            </w:r>
            <w:r>
              <w:rPr>
                <w:color w:val="auto"/>
                <w:sz w:val="24"/>
                <w:szCs w:val="24"/>
                <w:highlight w:val="none"/>
              </w:rPr>
              <w:t>包组推荐两名中标候选人。已获得</w:t>
            </w:r>
            <w:r>
              <w:rPr>
                <w:rFonts w:hint="eastAsia"/>
                <w:color w:val="auto"/>
                <w:sz w:val="24"/>
                <w:szCs w:val="24"/>
                <w:highlight w:val="none"/>
                <w:lang w:val="en-US" w:eastAsia="zh-CN"/>
              </w:rPr>
              <w:t>采购</w:t>
            </w:r>
            <w:r>
              <w:rPr>
                <w:color w:val="auto"/>
                <w:sz w:val="24"/>
                <w:szCs w:val="24"/>
                <w:highlight w:val="none"/>
              </w:rPr>
              <w:t>包</w:t>
            </w:r>
            <w:r>
              <w:rPr>
                <w:rFonts w:hint="eastAsia"/>
                <w:color w:val="auto"/>
                <w:sz w:val="24"/>
                <w:szCs w:val="24"/>
                <w:highlight w:val="none"/>
                <w:lang w:val="en-US" w:eastAsia="zh-CN"/>
              </w:rPr>
              <w:t>1</w:t>
            </w:r>
            <w:r>
              <w:rPr>
                <w:color w:val="auto"/>
                <w:sz w:val="24"/>
                <w:szCs w:val="24"/>
                <w:highlight w:val="none"/>
              </w:rPr>
              <w:t>的第一中标候选人资格的，将不具有</w:t>
            </w:r>
            <w:r>
              <w:rPr>
                <w:rFonts w:hint="eastAsia"/>
                <w:color w:val="auto"/>
                <w:sz w:val="24"/>
                <w:szCs w:val="24"/>
                <w:highlight w:val="none"/>
                <w:lang w:val="en-US" w:eastAsia="zh-CN"/>
              </w:rPr>
              <w:t>采购包2</w:t>
            </w:r>
            <w:r>
              <w:rPr>
                <w:color w:val="auto"/>
                <w:sz w:val="24"/>
                <w:szCs w:val="24"/>
                <w:highlight w:val="none"/>
              </w:rPr>
              <w:t>的候选人推荐资格；</w:t>
            </w:r>
            <w:r>
              <w:rPr>
                <w:rFonts w:hint="eastAsia"/>
                <w:color w:val="auto"/>
                <w:sz w:val="24"/>
                <w:szCs w:val="24"/>
                <w:highlight w:val="none"/>
                <w:lang w:val="en-US" w:eastAsia="zh-CN"/>
              </w:rPr>
              <w:t>采购包2</w:t>
            </w:r>
            <w:r>
              <w:rPr>
                <w:color w:val="auto"/>
                <w:sz w:val="24"/>
                <w:szCs w:val="24"/>
                <w:highlight w:val="none"/>
              </w:rPr>
              <w:t>从具有</w:t>
            </w:r>
            <w:r>
              <w:rPr>
                <w:rFonts w:hint="eastAsia"/>
                <w:color w:val="auto"/>
                <w:sz w:val="24"/>
                <w:szCs w:val="24"/>
                <w:highlight w:val="none"/>
                <w:lang w:val="en-US" w:eastAsia="zh-CN"/>
              </w:rPr>
              <w:t>采购包2</w:t>
            </w:r>
            <w:r>
              <w:rPr>
                <w:color w:val="auto"/>
                <w:sz w:val="24"/>
                <w:szCs w:val="24"/>
                <w:highlight w:val="none"/>
              </w:rPr>
              <w:t>中标候选人资格的投标人中，排名最高的投标供应商为第一中标候选人，排名次高的投标供应商为第二中标候选人，</w:t>
            </w:r>
            <w:r>
              <w:rPr>
                <w:rFonts w:hint="eastAsia"/>
                <w:color w:val="auto"/>
                <w:sz w:val="24"/>
                <w:szCs w:val="24"/>
                <w:highlight w:val="none"/>
                <w:lang w:val="en-US" w:eastAsia="zh-CN"/>
              </w:rPr>
              <w:t>依</w:t>
            </w:r>
            <w:r>
              <w:rPr>
                <w:color w:val="auto"/>
                <w:sz w:val="24"/>
                <w:szCs w:val="24"/>
                <w:highlight w:val="none"/>
              </w:rPr>
              <w:t>此类推。</w:t>
            </w:r>
          </w:p>
        </w:tc>
      </w:tr>
    </w:tbl>
    <w:p w14:paraId="6E33CFE6">
      <w:pPr>
        <w:spacing w:line="360" w:lineRule="auto"/>
        <w:jc w:val="left"/>
        <w:rPr>
          <w:color w:val="auto"/>
          <w:sz w:val="24"/>
          <w:szCs w:val="24"/>
          <w:highlight w:val="none"/>
        </w:rPr>
      </w:pPr>
      <w:r>
        <w:rPr>
          <w:color w:val="auto"/>
          <w:sz w:val="24"/>
          <w:szCs w:val="24"/>
          <w:highlight w:val="none"/>
        </w:rPr>
        <w:t>备注：</w:t>
      </w:r>
      <w:r>
        <w:rPr>
          <w:rFonts w:hint="eastAsia"/>
          <w:color w:val="auto"/>
          <w:sz w:val="24"/>
          <w:szCs w:val="24"/>
          <w:highlight w:val="none"/>
          <w:lang w:val="en-US" w:eastAsia="zh-CN"/>
        </w:rPr>
        <w:t>预算金额</w:t>
      </w:r>
      <w:r>
        <w:rPr>
          <w:color w:val="auto"/>
          <w:sz w:val="24"/>
          <w:szCs w:val="24"/>
          <w:highlight w:val="none"/>
        </w:rPr>
        <w:t>包括以下内容：</w:t>
      </w:r>
    </w:p>
    <w:p w14:paraId="478E3300">
      <w:pPr>
        <w:spacing w:line="360" w:lineRule="auto"/>
        <w:jc w:val="left"/>
        <w:rPr>
          <w:rFonts w:hint="eastAsia" w:eastAsiaTheme="minorEastAsia"/>
          <w:color w:val="auto"/>
          <w:sz w:val="24"/>
          <w:szCs w:val="24"/>
          <w:highlight w:val="none"/>
          <w:lang w:eastAsia="zh-CN"/>
        </w:rPr>
      </w:pPr>
      <w:r>
        <w:rPr>
          <w:color w:val="auto"/>
          <w:sz w:val="24"/>
          <w:szCs w:val="24"/>
          <w:highlight w:val="none"/>
        </w:rPr>
        <w:t>1.</w:t>
      </w:r>
      <w:r>
        <w:rPr>
          <w:rFonts w:hint="eastAsia"/>
          <w:color w:val="auto"/>
          <w:sz w:val="24"/>
          <w:szCs w:val="24"/>
          <w:highlight w:val="none"/>
          <w:lang w:eastAsia="zh-CN"/>
        </w:rPr>
        <w:t>中标人应无条件负责服务区域内不可抗拒自然灾害产生垃圾</w:t>
      </w:r>
      <w:r>
        <w:rPr>
          <w:rFonts w:hint="eastAsia"/>
          <w:color w:val="auto"/>
          <w:sz w:val="24"/>
          <w:szCs w:val="24"/>
          <w:highlight w:val="none"/>
          <w:lang w:val="en-US" w:eastAsia="zh-CN"/>
        </w:rPr>
        <w:t>的</w:t>
      </w:r>
      <w:r>
        <w:rPr>
          <w:rFonts w:hint="eastAsia"/>
          <w:color w:val="auto"/>
          <w:sz w:val="24"/>
          <w:szCs w:val="24"/>
          <w:highlight w:val="none"/>
          <w:lang w:eastAsia="zh-CN"/>
        </w:rPr>
        <w:t>清理，以及废弃家具和少量建筑渣土、工业废料等垃圾的清理。中标人不得以非生活垃圾为理由对此拒收或收取额外费用。</w:t>
      </w:r>
    </w:p>
    <w:p w14:paraId="44963B1C">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合同期内中标人不准以任何形式收取单位、企业、商户、居民</w:t>
      </w:r>
      <w:r>
        <w:rPr>
          <w:rFonts w:hint="eastAsia"/>
          <w:color w:val="auto"/>
          <w:sz w:val="24"/>
          <w:szCs w:val="24"/>
          <w:highlight w:val="none"/>
          <w:lang w:val="en-US" w:eastAsia="zh-CN"/>
        </w:rPr>
        <w:t>相关环卫</w:t>
      </w:r>
      <w:r>
        <w:rPr>
          <w:rFonts w:hint="eastAsia"/>
          <w:color w:val="auto"/>
          <w:sz w:val="24"/>
          <w:szCs w:val="24"/>
          <w:highlight w:val="none"/>
          <w:lang w:eastAsia="zh-CN"/>
        </w:rPr>
        <w:t>服务费用</w:t>
      </w:r>
      <w:r>
        <w:rPr>
          <w:color w:val="auto"/>
          <w:sz w:val="24"/>
          <w:szCs w:val="24"/>
          <w:highlight w:val="none"/>
        </w:rPr>
        <w:t>。</w:t>
      </w:r>
    </w:p>
    <w:p w14:paraId="019E2060">
      <w:pPr>
        <w:spacing w:line="360" w:lineRule="auto"/>
        <w:jc w:val="left"/>
        <w:rPr>
          <w:color w:val="auto"/>
          <w:sz w:val="24"/>
          <w:szCs w:val="24"/>
          <w:highlight w:val="none"/>
        </w:rPr>
      </w:pPr>
      <w:r>
        <w:rPr>
          <w:color w:val="auto"/>
          <w:sz w:val="24"/>
          <w:szCs w:val="24"/>
          <w:highlight w:val="none"/>
        </w:rPr>
        <w:t>3.中标人需在中标服务区域的市政道路、公园广场、交通站台</w:t>
      </w:r>
      <w:r>
        <w:rPr>
          <w:rFonts w:hint="eastAsia"/>
          <w:color w:val="auto"/>
          <w:sz w:val="24"/>
          <w:szCs w:val="24"/>
          <w:highlight w:val="none"/>
          <w:lang w:eastAsia="zh-CN"/>
        </w:rPr>
        <w:t>、</w:t>
      </w:r>
      <w:r>
        <w:rPr>
          <w:rFonts w:hint="eastAsia"/>
          <w:color w:val="auto"/>
          <w:sz w:val="24"/>
          <w:szCs w:val="24"/>
          <w:highlight w:val="none"/>
          <w:lang w:val="en-US" w:eastAsia="zh-CN"/>
        </w:rPr>
        <w:t>公厕</w:t>
      </w:r>
      <w:r>
        <w:rPr>
          <w:color w:val="auto"/>
          <w:sz w:val="24"/>
          <w:szCs w:val="24"/>
          <w:highlight w:val="none"/>
        </w:rPr>
        <w:t>等公共</w:t>
      </w:r>
      <w:r>
        <w:rPr>
          <w:rFonts w:hint="eastAsia"/>
          <w:color w:val="auto"/>
          <w:sz w:val="24"/>
          <w:szCs w:val="24"/>
          <w:highlight w:val="none"/>
          <w:lang w:val="en-US" w:eastAsia="zh-CN"/>
        </w:rPr>
        <w:t>场所</w:t>
      </w:r>
      <w:r>
        <w:rPr>
          <w:color w:val="auto"/>
          <w:sz w:val="24"/>
          <w:szCs w:val="24"/>
          <w:highlight w:val="none"/>
        </w:rPr>
        <w:t>按照《广东省城市生活垃圾分类投放与收集设施设置指引》要求设置生活垃圾分类收集点和收集容器。</w:t>
      </w:r>
    </w:p>
    <w:p w14:paraId="0D7A3D56">
      <w:pPr>
        <w:spacing w:line="360" w:lineRule="auto"/>
        <w:jc w:val="left"/>
        <w:rPr>
          <w:color w:val="auto"/>
          <w:sz w:val="24"/>
          <w:szCs w:val="24"/>
          <w:highlight w:val="none"/>
        </w:rPr>
      </w:pPr>
      <w:r>
        <w:rPr>
          <w:color w:val="auto"/>
          <w:sz w:val="24"/>
          <w:szCs w:val="24"/>
          <w:highlight w:val="none"/>
        </w:rPr>
        <w:t>4.中标人接管所有垃圾转运站应当建立日常管理制度和管理台账，按照分类标准和有关要求记录分类垃圾来源、类别、数量、去向等信息。</w:t>
      </w:r>
    </w:p>
    <w:p w14:paraId="4E815577">
      <w:pPr>
        <w:spacing w:line="360" w:lineRule="auto"/>
        <w:jc w:val="left"/>
        <w:rPr>
          <w:color w:val="auto"/>
          <w:sz w:val="24"/>
          <w:szCs w:val="24"/>
          <w:highlight w:val="none"/>
        </w:rPr>
      </w:pPr>
      <w:r>
        <w:rPr>
          <w:color w:val="auto"/>
          <w:sz w:val="24"/>
          <w:szCs w:val="24"/>
          <w:highlight w:val="none"/>
        </w:rPr>
        <w:t>5.中标人所有垃圾运送车辆要根据《广东省城市生活垃圾分类指引（试行）》规定分类喷涂统一、规范、清晰的标志标识，标明运输生活垃圾种类，垃圾运输的车身颜色与四分类垃圾桶颜色逐一对应，即蓝色车辆运输可回收物、绿色车辆运输厨余垃圾、红色车辆运输有害垃圾、灰色车辆运输其他垃圾，以全程分类为目标，积极推广市场化、专业化运输模式，防止生活垃圾“先分后混”、“混装混运”现象。</w:t>
      </w:r>
    </w:p>
    <w:p w14:paraId="610A14C0">
      <w:pPr>
        <w:spacing w:line="360" w:lineRule="auto"/>
        <w:jc w:val="left"/>
        <w:rPr>
          <w:color w:val="auto"/>
          <w:sz w:val="24"/>
          <w:szCs w:val="24"/>
          <w:highlight w:val="none"/>
        </w:rPr>
      </w:pPr>
      <w:r>
        <w:rPr>
          <w:color w:val="auto"/>
          <w:sz w:val="24"/>
          <w:szCs w:val="24"/>
          <w:highlight w:val="none"/>
        </w:rPr>
        <w:t>6.中标人要在每个街道现有垃圾压缩中转站空间规划设置一处有害垃圾暂存点，暂存点设置要求至少应包括：地面与裙脚要用坚固、防渗的材料建造，且表面无裂隙，必须有渗漏液体收集装置。有害垃圾堆放要防流失、防渗漏、防扬散。贮存设施应设置警示标志，贮存设施周围应设置围墙或其它防护栅栏，配备防盗及照明设施。对辖区内居民分类投放的有害垃圾进行收集，并根据有害垃圾收集点分布现状，调整优化有害垃圾收集线路，配置1-2辆标识清晰的有害垃圾专用收集车，收集有害垃圾，将有害垃圾送至集中暂存点暂存。每月定时或根据社区居（村）委会、物业管理服务机构、各单位办公场所管理责任人需求及时收运有害垃圾。将暂存点内的有害垃圾分类码放整齐，与移交、接收单位实行联单管理制度。待有害垃圾达到一定数量后联系有资质的危险废物经营单位进行移交、处置，在接收和移交过程</w:t>
      </w:r>
      <w:r>
        <w:rPr>
          <w:rFonts w:hint="eastAsia"/>
          <w:color w:val="auto"/>
          <w:sz w:val="24"/>
          <w:szCs w:val="24"/>
          <w:highlight w:val="none"/>
          <w:lang w:val="en-US" w:eastAsia="zh-CN"/>
        </w:rPr>
        <w:t>中</w:t>
      </w:r>
      <w:r>
        <w:rPr>
          <w:color w:val="auto"/>
          <w:sz w:val="24"/>
          <w:szCs w:val="24"/>
          <w:highlight w:val="none"/>
        </w:rPr>
        <w:t>均应做好台账记录。</w:t>
      </w:r>
    </w:p>
    <w:p w14:paraId="05DB99E1">
      <w:pPr>
        <w:spacing w:line="360" w:lineRule="auto"/>
        <w:jc w:val="left"/>
        <w:rPr>
          <w:color w:val="auto"/>
          <w:sz w:val="24"/>
          <w:szCs w:val="24"/>
          <w:highlight w:val="none"/>
        </w:rPr>
      </w:pPr>
      <w:r>
        <w:rPr>
          <w:color w:val="auto"/>
          <w:sz w:val="24"/>
          <w:szCs w:val="24"/>
          <w:highlight w:val="none"/>
        </w:rPr>
        <w:t>7.以上价格包工、包料、包机械设备、包运输、包质量、包文明施工、包作业安全及安全责任、房地租金、加班费、交通费、水电费、网络费、燃油费、车辆修理费（包括保险、统缴、税费等）、设备维护费、员工保险、福利、税费、利润及完成本项目相关费用及合同实施过程中应预见和不可预见费用。</w:t>
      </w:r>
    </w:p>
    <w:p w14:paraId="78A7E805">
      <w:pPr>
        <w:spacing w:line="360" w:lineRule="auto"/>
        <w:rPr>
          <w:color w:val="auto"/>
          <w:sz w:val="24"/>
          <w:szCs w:val="24"/>
          <w:highlight w:val="none"/>
        </w:rPr>
      </w:pPr>
    </w:p>
    <w:p w14:paraId="7EA50EE9">
      <w:pPr>
        <w:spacing w:line="360" w:lineRule="auto"/>
        <w:rPr>
          <w:b/>
          <w:bCs/>
          <w:color w:val="auto"/>
          <w:sz w:val="24"/>
          <w:szCs w:val="24"/>
          <w:highlight w:val="none"/>
        </w:rPr>
      </w:pPr>
      <w:r>
        <w:rPr>
          <w:b/>
          <w:bCs/>
          <w:color w:val="auto"/>
          <w:sz w:val="24"/>
          <w:szCs w:val="24"/>
          <w:highlight w:val="none"/>
        </w:rPr>
        <w:t>采购包1（普宁市市区环卫作业外包服务（东片区））</w:t>
      </w:r>
    </w:p>
    <w:p w14:paraId="60887A83">
      <w:pPr>
        <w:spacing w:line="360" w:lineRule="auto"/>
        <w:rPr>
          <w:color w:val="auto"/>
          <w:sz w:val="24"/>
          <w:szCs w:val="24"/>
          <w:highlight w:val="none"/>
        </w:rPr>
      </w:pPr>
      <w:r>
        <w:rPr>
          <w:b/>
          <w:color w:val="auto"/>
          <w:sz w:val="24"/>
          <w:szCs w:val="24"/>
          <w:highlight w:val="none"/>
        </w:rPr>
        <w:t>1.主要商务要求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3"/>
        <w:gridCol w:w="8045"/>
      </w:tblGrid>
      <w:tr w14:paraId="35572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tcPr>
          <w:p w14:paraId="07A1451B">
            <w:pPr>
              <w:spacing w:line="360" w:lineRule="auto"/>
              <w:rPr>
                <w:color w:val="auto"/>
                <w:sz w:val="24"/>
                <w:szCs w:val="24"/>
                <w:highlight w:val="none"/>
              </w:rPr>
            </w:pPr>
            <w:r>
              <w:rPr>
                <w:color w:val="auto"/>
                <w:sz w:val="24"/>
                <w:szCs w:val="24"/>
                <w:highlight w:val="none"/>
              </w:rPr>
              <w:t>标的提供的时间</w:t>
            </w:r>
          </w:p>
        </w:tc>
        <w:tc>
          <w:tcPr>
            <w:tcW w:w="8045" w:type="dxa"/>
          </w:tcPr>
          <w:p w14:paraId="3434CC08">
            <w:pPr>
              <w:spacing w:line="360" w:lineRule="auto"/>
              <w:rPr>
                <w:color w:val="auto"/>
                <w:sz w:val="24"/>
                <w:szCs w:val="24"/>
                <w:highlight w:val="none"/>
              </w:rPr>
            </w:pPr>
            <w:r>
              <w:rPr>
                <w:color w:val="auto"/>
                <w:sz w:val="24"/>
                <w:szCs w:val="24"/>
                <w:highlight w:val="none"/>
              </w:rPr>
              <w:t>合同生效之日起3年。</w:t>
            </w:r>
          </w:p>
        </w:tc>
      </w:tr>
      <w:tr w14:paraId="5D7AF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tcPr>
          <w:p w14:paraId="7B26C267">
            <w:pPr>
              <w:spacing w:line="360" w:lineRule="auto"/>
              <w:rPr>
                <w:color w:val="auto"/>
                <w:sz w:val="24"/>
                <w:szCs w:val="24"/>
                <w:highlight w:val="none"/>
              </w:rPr>
            </w:pPr>
            <w:r>
              <w:rPr>
                <w:color w:val="auto"/>
                <w:sz w:val="24"/>
                <w:szCs w:val="24"/>
                <w:highlight w:val="none"/>
              </w:rPr>
              <w:t>标的提供的地点</w:t>
            </w:r>
          </w:p>
        </w:tc>
        <w:tc>
          <w:tcPr>
            <w:tcW w:w="8045" w:type="dxa"/>
          </w:tcPr>
          <w:p w14:paraId="4E71EB3B">
            <w:pPr>
              <w:spacing w:line="360" w:lineRule="auto"/>
              <w:rPr>
                <w:color w:val="auto"/>
                <w:sz w:val="24"/>
                <w:szCs w:val="24"/>
                <w:highlight w:val="none"/>
              </w:rPr>
            </w:pPr>
            <w:r>
              <w:rPr>
                <w:rFonts w:hint="eastAsia"/>
                <w:color w:val="auto"/>
                <w:sz w:val="24"/>
                <w:szCs w:val="24"/>
                <w:highlight w:val="none"/>
                <w:lang w:eastAsia="zh-CN"/>
              </w:rPr>
              <w:t>普宁市市区</w:t>
            </w:r>
            <w:r>
              <w:rPr>
                <w:color w:val="auto"/>
                <w:sz w:val="24"/>
                <w:szCs w:val="24"/>
                <w:highlight w:val="none"/>
              </w:rPr>
              <w:t>。</w:t>
            </w:r>
          </w:p>
        </w:tc>
      </w:tr>
      <w:tr w14:paraId="1E672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tcPr>
          <w:p w14:paraId="0EF01840">
            <w:pPr>
              <w:spacing w:line="360" w:lineRule="auto"/>
              <w:rPr>
                <w:color w:val="auto"/>
                <w:sz w:val="24"/>
                <w:szCs w:val="24"/>
                <w:highlight w:val="none"/>
              </w:rPr>
            </w:pPr>
            <w:r>
              <w:rPr>
                <w:color w:val="auto"/>
                <w:sz w:val="24"/>
                <w:szCs w:val="24"/>
                <w:highlight w:val="none"/>
              </w:rPr>
              <w:t>付款方式</w:t>
            </w:r>
          </w:p>
        </w:tc>
        <w:tc>
          <w:tcPr>
            <w:tcW w:w="8045" w:type="dxa"/>
          </w:tcPr>
          <w:p w14:paraId="149A0F02">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rPr>
              <w:t>由中标人次月向采购人提供上月服务费申请表，并附上合法有效的票据，采购人在收到应付票据后，向财政部门请款后将上月服务费用汇入中标人的指定账户，其中，工人工资足额拨付至中标人按有关规定开设的工人工资专用账户，确保专款专用，如遇节假日则依次推后。服务费按中标价格平均到每个月的金额￥  元（大写：    ），根据每月检查考核情况，中标人本月度被处罚的金额，在拨付服务费中直接扣除。</w:t>
            </w:r>
          </w:p>
        </w:tc>
      </w:tr>
      <w:tr w14:paraId="611AB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tcPr>
          <w:p w14:paraId="398BB623">
            <w:pPr>
              <w:spacing w:line="360" w:lineRule="auto"/>
              <w:rPr>
                <w:color w:val="auto"/>
                <w:sz w:val="24"/>
                <w:szCs w:val="24"/>
                <w:highlight w:val="none"/>
              </w:rPr>
            </w:pPr>
            <w:r>
              <w:rPr>
                <w:color w:val="auto"/>
                <w:sz w:val="24"/>
                <w:szCs w:val="24"/>
                <w:highlight w:val="none"/>
              </w:rPr>
              <w:t>验收要求</w:t>
            </w:r>
          </w:p>
        </w:tc>
        <w:tc>
          <w:tcPr>
            <w:tcW w:w="8045" w:type="dxa"/>
          </w:tcPr>
          <w:p w14:paraId="3D171033">
            <w:pPr>
              <w:spacing w:line="360" w:lineRule="auto"/>
              <w:rPr>
                <w:color w:val="auto"/>
                <w:sz w:val="24"/>
                <w:szCs w:val="24"/>
                <w:highlight w:val="none"/>
              </w:rPr>
            </w:pPr>
            <w:r>
              <w:rPr>
                <w:color w:val="auto"/>
                <w:sz w:val="24"/>
                <w:szCs w:val="24"/>
                <w:highlight w:val="none"/>
              </w:rPr>
              <w:t>由环卫中心按照《采购需求书要求》，参照《普宁市市区环境卫生验评标准》的要求和标准开展环卫服务质量的检查与考核，每月由采购人进行确认。对中标人的环卫服务实行量化月度考评</w:t>
            </w:r>
            <w:r>
              <w:rPr>
                <w:rFonts w:hint="eastAsia"/>
                <w:color w:val="auto"/>
                <w:sz w:val="24"/>
                <w:szCs w:val="24"/>
                <w:highlight w:val="none"/>
                <w:lang w:eastAsia="zh-CN"/>
              </w:rPr>
              <w:t>（</w:t>
            </w:r>
            <w:r>
              <w:rPr>
                <w:color w:val="auto"/>
                <w:sz w:val="24"/>
                <w:szCs w:val="24"/>
                <w:highlight w:val="none"/>
              </w:rPr>
              <w:t>包括日常检查、月度考核和公众监督三部分</w:t>
            </w:r>
            <w:r>
              <w:rPr>
                <w:rFonts w:hint="eastAsia"/>
                <w:color w:val="auto"/>
                <w:sz w:val="24"/>
                <w:szCs w:val="24"/>
                <w:highlight w:val="none"/>
                <w:lang w:eastAsia="zh-CN"/>
              </w:rPr>
              <w:t>）</w:t>
            </w:r>
            <w:r>
              <w:rPr>
                <w:color w:val="auto"/>
                <w:sz w:val="24"/>
                <w:szCs w:val="24"/>
                <w:highlight w:val="none"/>
              </w:rPr>
              <w:t>。</w:t>
            </w:r>
          </w:p>
        </w:tc>
      </w:tr>
      <w:tr w14:paraId="79EC9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tcPr>
          <w:p w14:paraId="675447AC">
            <w:pPr>
              <w:spacing w:line="360" w:lineRule="auto"/>
              <w:rPr>
                <w:color w:val="auto"/>
                <w:sz w:val="24"/>
                <w:szCs w:val="24"/>
                <w:highlight w:val="none"/>
              </w:rPr>
            </w:pPr>
            <w:r>
              <w:rPr>
                <w:color w:val="auto"/>
                <w:sz w:val="24"/>
                <w:szCs w:val="24"/>
                <w:highlight w:val="none"/>
              </w:rPr>
              <w:t>履约保证金</w:t>
            </w:r>
          </w:p>
        </w:tc>
        <w:tc>
          <w:tcPr>
            <w:tcW w:w="8045" w:type="dxa"/>
          </w:tcPr>
          <w:p w14:paraId="26DB8F61">
            <w:pPr>
              <w:spacing w:line="360" w:lineRule="auto"/>
              <w:rPr>
                <w:rFonts w:hint="eastAsia"/>
                <w:color w:val="auto"/>
                <w:sz w:val="24"/>
                <w:szCs w:val="24"/>
                <w:highlight w:val="none"/>
                <w:lang w:val="en-US" w:eastAsia="zh-CN"/>
              </w:rPr>
            </w:pPr>
            <w:r>
              <w:rPr>
                <w:color w:val="auto"/>
                <w:sz w:val="24"/>
                <w:szCs w:val="24"/>
                <w:highlight w:val="none"/>
              </w:rPr>
              <w:t>收取比例：5%</w:t>
            </w:r>
            <w:r>
              <w:rPr>
                <w:rFonts w:hint="eastAsia"/>
                <w:color w:val="auto"/>
                <w:sz w:val="24"/>
                <w:szCs w:val="24"/>
                <w:highlight w:val="none"/>
                <w:lang w:val="en-US" w:eastAsia="zh-CN"/>
              </w:rPr>
              <w:t>。</w:t>
            </w:r>
          </w:p>
          <w:p w14:paraId="58106AC5">
            <w:pPr>
              <w:spacing w:line="360" w:lineRule="auto"/>
              <w:rPr>
                <w:color w:val="auto"/>
                <w:sz w:val="24"/>
                <w:szCs w:val="24"/>
                <w:highlight w:val="none"/>
              </w:rPr>
            </w:pPr>
            <w:r>
              <w:rPr>
                <w:color w:val="auto"/>
                <w:sz w:val="24"/>
                <w:szCs w:val="24"/>
                <w:highlight w:val="none"/>
              </w:rPr>
              <w:t>说明：</w:t>
            </w:r>
          </w:p>
          <w:p w14:paraId="288782CD">
            <w:pPr>
              <w:numPr>
                <w:ilvl w:val="0"/>
                <w:numId w:val="3"/>
              </w:numPr>
              <w:spacing w:line="360" w:lineRule="auto"/>
              <w:rPr>
                <w:color w:val="auto"/>
                <w:sz w:val="24"/>
                <w:szCs w:val="24"/>
                <w:highlight w:val="none"/>
              </w:rPr>
            </w:pPr>
            <w:r>
              <w:rPr>
                <w:color w:val="auto"/>
                <w:sz w:val="24"/>
                <w:szCs w:val="24"/>
                <w:highlight w:val="none"/>
              </w:rPr>
              <w:t>中标人须向采购人提交合同履约保证金，按中标价的5%取整数至万位作为合同履约保证金，履约保证金自合同签订</w:t>
            </w:r>
            <w:r>
              <w:rPr>
                <w:rFonts w:hint="eastAsia"/>
                <w:color w:val="auto"/>
                <w:sz w:val="24"/>
                <w:szCs w:val="24"/>
                <w:highlight w:val="none"/>
                <w:lang w:val="en-US" w:eastAsia="zh-CN"/>
              </w:rPr>
              <w:t>之日起10个工作日内，向</w:t>
            </w:r>
            <w:r>
              <w:rPr>
                <w:color w:val="auto"/>
                <w:sz w:val="24"/>
                <w:szCs w:val="24"/>
                <w:highlight w:val="none"/>
              </w:rPr>
              <w:t xml:space="preserve">采购人提交。 </w:t>
            </w:r>
          </w:p>
          <w:p w14:paraId="2BA8EE3C">
            <w:pPr>
              <w:numPr>
                <w:ilvl w:val="0"/>
                <w:numId w:val="0"/>
              </w:numPr>
              <w:spacing w:line="360" w:lineRule="auto"/>
              <w:ind w:leftChars="0"/>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履约保证金提交方式： （1）采用电汇或</w:t>
            </w:r>
            <w:r>
              <w:rPr>
                <w:rFonts w:hint="eastAsia"/>
                <w:color w:val="auto"/>
                <w:sz w:val="24"/>
                <w:szCs w:val="24"/>
                <w:highlight w:val="none"/>
                <w:lang w:eastAsia="zh-CN"/>
              </w:rPr>
              <w:t>转账方式</w:t>
            </w:r>
            <w:r>
              <w:rPr>
                <w:color w:val="auto"/>
                <w:sz w:val="24"/>
                <w:szCs w:val="24"/>
                <w:highlight w:val="none"/>
              </w:rPr>
              <w:t>提交，中标人按合同条款的约定将</w:t>
            </w:r>
            <w:r>
              <w:rPr>
                <w:rFonts w:hint="eastAsia"/>
                <w:color w:val="auto"/>
                <w:sz w:val="24"/>
                <w:szCs w:val="24"/>
                <w:highlight w:val="none"/>
                <w:lang w:val="en-US" w:eastAsia="zh-CN"/>
              </w:rPr>
              <w:t>履约</w:t>
            </w:r>
            <w:r>
              <w:rPr>
                <w:color w:val="auto"/>
                <w:sz w:val="24"/>
                <w:szCs w:val="24"/>
                <w:highlight w:val="none"/>
              </w:rPr>
              <w:t>保证金汇入采购人指定的账户，以银行</w:t>
            </w:r>
            <w:r>
              <w:rPr>
                <w:rFonts w:hint="eastAsia"/>
                <w:color w:val="auto"/>
                <w:sz w:val="24"/>
                <w:szCs w:val="24"/>
                <w:highlight w:val="none"/>
                <w:lang w:eastAsia="zh-CN"/>
              </w:rPr>
              <w:t>到账的</w:t>
            </w:r>
            <w:r>
              <w:rPr>
                <w:color w:val="auto"/>
                <w:sz w:val="24"/>
                <w:szCs w:val="24"/>
                <w:highlight w:val="none"/>
              </w:rPr>
              <w:t>时间为准； （2）采用支票、汇票、本票或者国有银行出具的保函等非现金形式提交</w:t>
            </w:r>
            <w:r>
              <w:rPr>
                <w:rFonts w:hint="eastAsia"/>
                <w:color w:val="auto"/>
                <w:sz w:val="24"/>
                <w:szCs w:val="24"/>
                <w:highlight w:val="none"/>
                <w:lang w:eastAsia="zh-CN"/>
              </w:rPr>
              <w:t>。</w:t>
            </w:r>
          </w:p>
          <w:p w14:paraId="40E134FA">
            <w:pPr>
              <w:numPr>
                <w:ilvl w:val="0"/>
                <w:numId w:val="0"/>
              </w:numPr>
              <w:spacing w:line="360" w:lineRule="auto"/>
              <w:ind w:leftChars="0"/>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 xml:space="preserve">履约保证金用于按合同补偿采购人因中标人不能完成其合同义务而蒙受的损失，也可用于采购人处罚对中标人未按要求投入足够作业人数的相应违约金，履约保证金因违约被采购人扣除而减少的，中标人必须以适当的形式在5个工作日内如约补足。凡因中标人责任，使采购人解除本合同的，履约保证金不向中标人退还。 </w:t>
            </w:r>
          </w:p>
          <w:p w14:paraId="1FA0947F">
            <w:pPr>
              <w:numPr>
                <w:ilvl w:val="0"/>
                <w:numId w:val="0"/>
              </w:numPr>
              <w:spacing w:line="360" w:lineRule="auto"/>
              <w:ind w:leftChars="0"/>
              <w:rPr>
                <w:color w:val="auto"/>
                <w:sz w:val="24"/>
                <w:szCs w:val="24"/>
                <w:highlight w:val="none"/>
              </w:rPr>
            </w:pPr>
            <w:r>
              <w:rPr>
                <w:color w:val="auto"/>
                <w:sz w:val="24"/>
                <w:szCs w:val="24"/>
                <w:highlight w:val="none"/>
              </w:rPr>
              <w:t>4、中标人不按合同约定如期、足额</w:t>
            </w:r>
            <w:r>
              <w:rPr>
                <w:rFonts w:hint="eastAsia"/>
                <w:color w:val="auto"/>
                <w:sz w:val="24"/>
                <w:szCs w:val="24"/>
                <w:highlight w:val="none"/>
                <w:lang w:val="en-US" w:eastAsia="zh-CN"/>
              </w:rPr>
              <w:t>的</w:t>
            </w:r>
            <w:r>
              <w:rPr>
                <w:color w:val="auto"/>
                <w:sz w:val="24"/>
                <w:szCs w:val="24"/>
                <w:highlight w:val="none"/>
              </w:rPr>
              <w:t>向采购人提交履约保证金，采购人可单方面解除合同并取消该中标决定。采购人可以与排位在中标人之后第一位的中标候选人签订政府</w:t>
            </w:r>
            <w:r>
              <w:rPr>
                <w:rFonts w:hint="eastAsia"/>
                <w:color w:val="auto"/>
                <w:sz w:val="24"/>
                <w:szCs w:val="24"/>
                <w:highlight w:val="none"/>
                <w:lang w:val="en-US" w:eastAsia="zh-CN"/>
              </w:rPr>
              <w:t>采购</w:t>
            </w:r>
            <w:r>
              <w:rPr>
                <w:color w:val="auto"/>
                <w:sz w:val="24"/>
                <w:szCs w:val="24"/>
                <w:highlight w:val="none"/>
              </w:rPr>
              <w:t>合同，</w:t>
            </w:r>
            <w:r>
              <w:rPr>
                <w:rFonts w:hint="eastAsia"/>
                <w:color w:val="auto"/>
                <w:sz w:val="24"/>
                <w:szCs w:val="24"/>
                <w:highlight w:val="none"/>
                <w:lang w:val="en-US" w:eastAsia="zh-CN"/>
              </w:rPr>
              <w:t>依</w:t>
            </w:r>
            <w:r>
              <w:rPr>
                <w:color w:val="auto"/>
                <w:sz w:val="24"/>
                <w:szCs w:val="24"/>
                <w:highlight w:val="none"/>
              </w:rPr>
              <w:t xml:space="preserve">此类推，或者重新招标。 </w:t>
            </w:r>
          </w:p>
          <w:p w14:paraId="5172209A">
            <w:pPr>
              <w:numPr>
                <w:ilvl w:val="0"/>
                <w:numId w:val="0"/>
              </w:numPr>
              <w:spacing w:line="360" w:lineRule="auto"/>
              <w:ind w:leftChars="0"/>
              <w:rPr>
                <w:color w:val="auto"/>
                <w:sz w:val="24"/>
                <w:szCs w:val="24"/>
                <w:highlight w:val="none"/>
              </w:rPr>
            </w:pPr>
            <w:r>
              <w:rPr>
                <w:color w:val="auto"/>
                <w:sz w:val="24"/>
                <w:szCs w:val="24"/>
                <w:highlight w:val="none"/>
              </w:rPr>
              <w:t>5、履约保证金的退还：</w:t>
            </w:r>
            <w:r>
              <w:rPr>
                <w:rFonts w:hint="eastAsia"/>
                <w:color w:val="auto"/>
                <w:sz w:val="24"/>
                <w:szCs w:val="24"/>
                <w:highlight w:val="none"/>
                <w:lang w:val="en-US" w:eastAsia="zh-CN"/>
              </w:rPr>
              <w:t>若</w:t>
            </w:r>
            <w:r>
              <w:rPr>
                <w:color w:val="auto"/>
                <w:sz w:val="24"/>
                <w:szCs w:val="24"/>
                <w:highlight w:val="none"/>
              </w:rPr>
              <w:t>中标人完成其合同义务</w:t>
            </w:r>
            <w:r>
              <w:rPr>
                <w:rFonts w:hint="eastAsia"/>
                <w:color w:val="auto"/>
                <w:sz w:val="24"/>
                <w:szCs w:val="24"/>
                <w:highlight w:val="none"/>
                <w:lang w:val="en-US" w:eastAsia="zh-CN"/>
              </w:rPr>
              <w:t>后</w:t>
            </w:r>
            <w:r>
              <w:rPr>
                <w:color w:val="auto"/>
                <w:sz w:val="24"/>
                <w:szCs w:val="24"/>
                <w:highlight w:val="none"/>
              </w:rPr>
              <w:t>，</w:t>
            </w:r>
            <w:r>
              <w:rPr>
                <w:rFonts w:hint="eastAsia"/>
                <w:color w:val="auto"/>
                <w:sz w:val="24"/>
                <w:szCs w:val="24"/>
                <w:highlight w:val="none"/>
                <w:lang w:val="en-US" w:eastAsia="zh-CN"/>
              </w:rPr>
              <w:t>且</w:t>
            </w:r>
            <w:r>
              <w:rPr>
                <w:color w:val="auto"/>
                <w:sz w:val="24"/>
                <w:szCs w:val="24"/>
                <w:highlight w:val="none"/>
              </w:rPr>
              <w:t>没有违约行为，履约保证金在合同有效期满完成道路、资产交接等业务后，</w:t>
            </w:r>
            <w:r>
              <w:rPr>
                <w:rFonts w:hint="eastAsia"/>
                <w:color w:val="auto"/>
                <w:sz w:val="24"/>
                <w:szCs w:val="24"/>
                <w:highlight w:val="none"/>
                <w:lang w:eastAsia="zh-CN"/>
              </w:rPr>
              <w:t>由采购人在5个工作日内</w:t>
            </w:r>
            <w:r>
              <w:rPr>
                <w:color w:val="auto"/>
                <w:sz w:val="24"/>
                <w:szCs w:val="24"/>
                <w:highlight w:val="none"/>
              </w:rPr>
              <w:t>将履约保证金无息退还。</w:t>
            </w:r>
          </w:p>
        </w:tc>
      </w:tr>
      <w:tr w14:paraId="32EBB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tcPr>
          <w:p w14:paraId="00076548">
            <w:pPr>
              <w:spacing w:line="360" w:lineRule="auto"/>
              <w:rPr>
                <w:color w:val="auto"/>
                <w:sz w:val="24"/>
                <w:szCs w:val="24"/>
                <w:highlight w:val="none"/>
              </w:rPr>
            </w:pPr>
            <w:r>
              <w:rPr>
                <w:color w:val="auto"/>
                <w:sz w:val="24"/>
                <w:szCs w:val="24"/>
                <w:highlight w:val="none"/>
              </w:rPr>
              <w:t>其他</w:t>
            </w:r>
          </w:p>
        </w:tc>
        <w:tc>
          <w:tcPr>
            <w:tcW w:w="8045" w:type="dxa"/>
          </w:tcPr>
          <w:p w14:paraId="72649932">
            <w:pPr>
              <w:spacing w:line="360" w:lineRule="auto"/>
              <w:rPr>
                <w:rFonts w:hint="eastAsia"/>
                <w:color w:val="auto"/>
                <w:sz w:val="24"/>
                <w:szCs w:val="24"/>
                <w:highlight w:val="none"/>
                <w:lang w:eastAsia="zh-CN"/>
              </w:rPr>
            </w:pPr>
            <w:r>
              <w:rPr>
                <w:color w:val="auto"/>
                <w:sz w:val="24"/>
                <w:szCs w:val="24"/>
                <w:highlight w:val="none"/>
              </w:rPr>
              <w:t>承包期间，双方必须严格履行合同，在执行过程中，如遇未尽事宜（含政府政策、作业标准、作业时间调整等），双方可协商形成补充协议，具有与主合同同等效力</w:t>
            </w:r>
            <w:r>
              <w:rPr>
                <w:rFonts w:hint="eastAsia"/>
                <w:color w:val="auto"/>
                <w:sz w:val="24"/>
                <w:szCs w:val="24"/>
                <w:highlight w:val="none"/>
                <w:lang w:eastAsia="zh-CN"/>
              </w:rPr>
              <w:t>。</w:t>
            </w:r>
          </w:p>
        </w:tc>
      </w:tr>
    </w:tbl>
    <w:p w14:paraId="02AC44E3">
      <w:pPr>
        <w:spacing w:line="360" w:lineRule="auto"/>
        <w:rPr>
          <w:color w:val="auto"/>
          <w:sz w:val="24"/>
          <w:szCs w:val="24"/>
          <w:highlight w:val="none"/>
        </w:rPr>
      </w:pPr>
    </w:p>
    <w:p w14:paraId="0713498E">
      <w:pPr>
        <w:spacing w:line="360" w:lineRule="auto"/>
        <w:rPr>
          <w:color w:val="auto"/>
          <w:sz w:val="24"/>
          <w:szCs w:val="24"/>
          <w:highlight w:val="none"/>
        </w:rPr>
      </w:pPr>
      <w:r>
        <w:rPr>
          <w:color w:val="auto"/>
          <w:sz w:val="24"/>
          <w:szCs w:val="24"/>
          <w:highlight w:val="none"/>
        </w:rPr>
        <w:t>其他商务需求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0"/>
        <w:gridCol w:w="743"/>
        <w:gridCol w:w="1444"/>
        <w:gridCol w:w="6541"/>
      </w:tblGrid>
      <w:tr w14:paraId="77F49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109F7DAE">
            <w:pPr>
              <w:spacing w:line="360" w:lineRule="auto"/>
              <w:jc w:val="center"/>
              <w:rPr>
                <w:color w:val="auto"/>
                <w:sz w:val="24"/>
                <w:szCs w:val="24"/>
                <w:highlight w:val="none"/>
              </w:rPr>
            </w:pPr>
            <w:r>
              <w:rPr>
                <w:color w:val="auto"/>
                <w:sz w:val="24"/>
                <w:szCs w:val="24"/>
                <w:highlight w:val="none"/>
              </w:rPr>
              <w:t>参数性质</w:t>
            </w:r>
          </w:p>
        </w:tc>
        <w:tc>
          <w:tcPr>
            <w:tcW w:w="743" w:type="dxa"/>
          </w:tcPr>
          <w:p w14:paraId="3B62A9A5">
            <w:pPr>
              <w:spacing w:line="360" w:lineRule="auto"/>
              <w:jc w:val="center"/>
              <w:rPr>
                <w:color w:val="auto"/>
                <w:sz w:val="24"/>
                <w:szCs w:val="24"/>
                <w:highlight w:val="none"/>
              </w:rPr>
            </w:pPr>
            <w:r>
              <w:rPr>
                <w:color w:val="auto"/>
                <w:sz w:val="24"/>
                <w:szCs w:val="24"/>
                <w:highlight w:val="none"/>
              </w:rPr>
              <w:t>编号</w:t>
            </w:r>
          </w:p>
        </w:tc>
        <w:tc>
          <w:tcPr>
            <w:tcW w:w="1444" w:type="dxa"/>
          </w:tcPr>
          <w:p w14:paraId="684C96A3">
            <w:pPr>
              <w:spacing w:line="360" w:lineRule="auto"/>
              <w:jc w:val="both"/>
              <w:rPr>
                <w:color w:val="auto"/>
                <w:sz w:val="24"/>
                <w:szCs w:val="24"/>
                <w:highlight w:val="none"/>
              </w:rPr>
            </w:pPr>
            <w:r>
              <w:rPr>
                <w:color w:val="auto"/>
                <w:sz w:val="24"/>
                <w:szCs w:val="24"/>
                <w:highlight w:val="none"/>
              </w:rPr>
              <w:t>内容明细</w:t>
            </w:r>
          </w:p>
        </w:tc>
        <w:tc>
          <w:tcPr>
            <w:tcW w:w="6541" w:type="dxa"/>
          </w:tcPr>
          <w:p w14:paraId="7C16119D">
            <w:pPr>
              <w:spacing w:line="360" w:lineRule="auto"/>
              <w:jc w:val="center"/>
              <w:rPr>
                <w:color w:val="auto"/>
                <w:sz w:val="24"/>
                <w:szCs w:val="24"/>
                <w:highlight w:val="none"/>
              </w:rPr>
            </w:pPr>
            <w:r>
              <w:rPr>
                <w:color w:val="auto"/>
                <w:sz w:val="24"/>
                <w:szCs w:val="24"/>
                <w:highlight w:val="none"/>
              </w:rPr>
              <w:t>内容说明</w:t>
            </w:r>
          </w:p>
        </w:tc>
      </w:tr>
      <w:tr w14:paraId="06F40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1EFF5B64">
            <w:pPr>
              <w:spacing w:line="360" w:lineRule="auto"/>
              <w:jc w:val="center"/>
              <w:rPr>
                <w:color w:val="auto"/>
                <w:sz w:val="24"/>
                <w:szCs w:val="24"/>
                <w:highlight w:val="none"/>
              </w:rPr>
            </w:pPr>
          </w:p>
        </w:tc>
        <w:tc>
          <w:tcPr>
            <w:tcW w:w="743" w:type="dxa"/>
          </w:tcPr>
          <w:p w14:paraId="52A65CAD">
            <w:pPr>
              <w:spacing w:line="360" w:lineRule="auto"/>
              <w:jc w:val="center"/>
              <w:rPr>
                <w:color w:val="auto"/>
                <w:sz w:val="24"/>
                <w:szCs w:val="24"/>
                <w:highlight w:val="none"/>
              </w:rPr>
            </w:pPr>
            <w:r>
              <w:rPr>
                <w:color w:val="auto"/>
                <w:sz w:val="24"/>
                <w:szCs w:val="24"/>
                <w:highlight w:val="none"/>
              </w:rPr>
              <w:t>1</w:t>
            </w:r>
          </w:p>
        </w:tc>
        <w:tc>
          <w:tcPr>
            <w:tcW w:w="1444" w:type="dxa"/>
          </w:tcPr>
          <w:p w14:paraId="7F083D39">
            <w:pPr>
              <w:spacing w:line="360" w:lineRule="auto"/>
              <w:jc w:val="left"/>
              <w:rPr>
                <w:color w:val="auto"/>
                <w:sz w:val="24"/>
                <w:szCs w:val="24"/>
                <w:highlight w:val="none"/>
              </w:rPr>
            </w:pPr>
            <w:r>
              <w:rPr>
                <w:color w:val="auto"/>
                <w:sz w:val="24"/>
                <w:szCs w:val="24"/>
                <w:highlight w:val="none"/>
              </w:rPr>
              <w:t>相关费用</w:t>
            </w:r>
          </w:p>
        </w:tc>
        <w:tc>
          <w:tcPr>
            <w:tcW w:w="6541" w:type="dxa"/>
          </w:tcPr>
          <w:p w14:paraId="540D60E5">
            <w:pPr>
              <w:spacing w:line="360" w:lineRule="auto"/>
              <w:jc w:val="left"/>
              <w:rPr>
                <w:color w:val="auto"/>
                <w:sz w:val="24"/>
                <w:szCs w:val="24"/>
                <w:highlight w:val="none"/>
              </w:rPr>
            </w:pPr>
            <w:r>
              <w:rPr>
                <w:color w:val="auto"/>
                <w:sz w:val="24"/>
                <w:szCs w:val="24"/>
                <w:highlight w:val="none"/>
              </w:rPr>
              <w:t>★1、依据普宁市公布的物价指数（如果普宁市当年未公布物价指数，</w:t>
            </w:r>
            <w:r>
              <w:rPr>
                <w:rFonts w:hint="eastAsia"/>
                <w:color w:val="auto"/>
                <w:sz w:val="24"/>
                <w:szCs w:val="24"/>
                <w:highlight w:val="none"/>
                <w:lang w:val="en-US" w:eastAsia="zh-CN"/>
              </w:rPr>
              <w:t>以</w:t>
            </w:r>
            <w:r>
              <w:rPr>
                <w:color w:val="auto"/>
                <w:sz w:val="24"/>
                <w:szCs w:val="24"/>
                <w:highlight w:val="none"/>
              </w:rPr>
              <w:t>揭阳市公布的物价指数为准），如果物价指数当年上涨或下降超过3%</w:t>
            </w:r>
            <w:r>
              <w:rPr>
                <w:rFonts w:hint="eastAsia"/>
                <w:color w:val="auto"/>
                <w:sz w:val="24"/>
                <w:szCs w:val="24"/>
                <w:highlight w:val="none"/>
                <w:lang w:eastAsia="zh-CN"/>
              </w:rPr>
              <w:t>，自</w:t>
            </w:r>
            <w:r>
              <w:rPr>
                <w:color w:val="auto"/>
                <w:sz w:val="24"/>
                <w:szCs w:val="24"/>
                <w:highlight w:val="none"/>
              </w:rPr>
              <w:t>合同签订之日起第一年不做调整，第二年和第三年服务费依据普宁市公布的物价指数（如果普宁市当年未公布物价指数，</w:t>
            </w:r>
            <w:r>
              <w:rPr>
                <w:rFonts w:hint="eastAsia"/>
                <w:color w:val="auto"/>
                <w:sz w:val="24"/>
                <w:szCs w:val="24"/>
                <w:highlight w:val="none"/>
                <w:lang w:eastAsia="zh-CN"/>
              </w:rPr>
              <w:t>以</w:t>
            </w:r>
            <w:r>
              <w:rPr>
                <w:color w:val="auto"/>
                <w:sz w:val="24"/>
                <w:szCs w:val="24"/>
                <w:highlight w:val="none"/>
              </w:rPr>
              <w:t xml:space="preserve">揭阳市公布的物价指数为准）相应同比调整，报经政府财政主管部门申请调整，调整经费以政府财政实际核批数为准。计算公式为：（当年物价比较上年度上涨/下降指数-3%）×每年中标价。 </w:t>
            </w:r>
          </w:p>
          <w:p w14:paraId="55519873">
            <w:pPr>
              <w:spacing w:line="360" w:lineRule="auto"/>
              <w:jc w:val="left"/>
              <w:rPr>
                <w:color w:val="auto"/>
                <w:sz w:val="24"/>
                <w:szCs w:val="24"/>
                <w:highlight w:val="none"/>
              </w:rPr>
            </w:pPr>
            <w:r>
              <w:rPr>
                <w:color w:val="auto"/>
                <w:sz w:val="24"/>
                <w:szCs w:val="24"/>
                <w:highlight w:val="none"/>
              </w:rPr>
              <w:t>★2、为方便外包项目实施管理，本次服务项目实行固定总价包干。合同服务期间，服务区域内因城市动态变化服务费用增加不作调整，但因市政建设采取封闭或半封闭施工的，施工期间应按照实际施工期扣减服务费，封闭或半封闭施工面积×每年合同价÷</w:t>
            </w:r>
            <w:r>
              <w:rPr>
                <w:rFonts w:hint="eastAsia"/>
                <w:strike w:val="0"/>
                <w:dstrike w:val="0"/>
                <w:color w:val="auto"/>
                <w:sz w:val="24"/>
                <w:szCs w:val="24"/>
                <w:highlight w:val="none"/>
                <w:lang w:val="en-US" w:eastAsia="zh-CN"/>
              </w:rPr>
              <w:t xml:space="preserve"> 4734945.00</w:t>
            </w:r>
            <w:r>
              <w:rPr>
                <w:strike w:val="0"/>
                <w:dstrike w:val="0"/>
                <w:color w:val="auto"/>
                <w:sz w:val="24"/>
                <w:szCs w:val="24"/>
                <w:highlight w:val="none"/>
              </w:rPr>
              <w:t>平方米</w:t>
            </w:r>
            <w:r>
              <w:rPr>
                <w:color w:val="auto"/>
                <w:sz w:val="24"/>
                <w:szCs w:val="24"/>
                <w:highlight w:val="none"/>
              </w:rPr>
              <w:t>×施工天数÷365天=扣减服务费；承包期内如服务区域外扩，在不超过合同价10%的前提下，其计费面积由市市容环境卫生管理中心组织有关单位现场实丈并签证确认，服务区域外累计增加清扫保洁面积10000平方米（含10000平方米）的，中标人需无条件服务；累计增加超过10000平方米的，计算外扩区域服务费按外扩面积×每年合同价÷</w:t>
            </w:r>
            <w:r>
              <w:rPr>
                <w:rFonts w:hint="eastAsia"/>
                <w:strike w:val="0"/>
                <w:dstrike w:val="0"/>
                <w:color w:val="auto"/>
                <w:sz w:val="24"/>
                <w:szCs w:val="24"/>
                <w:highlight w:val="none"/>
                <w:lang w:val="en-US" w:eastAsia="zh-CN"/>
              </w:rPr>
              <w:t>4734945.00</w:t>
            </w:r>
            <w:r>
              <w:rPr>
                <w:strike w:val="0"/>
                <w:dstrike w:val="0"/>
                <w:color w:val="auto"/>
                <w:sz w:val="24"/>
                <w:szCs w:val="24"/>
                <w:highlight w:val="none"/>
              </w:rPr>
              <w:t>平方米</w:t>
            </w:r>
            <w:r>
              <w:rPr>
                <w:color w:val="auto"/>
                <w:sz w:val="24"/>
                <w:szCs w:val="24"/>
                <w:highlight w:val="none"/>
              </w:rPr>
              <w:t xml:space="preserve">=增加服务费，如累计增加的服务费超过合同价的10%，则按规定重新组织招标。 </w:t>
            </w:r>
          </w:p>
          <w:p w14:paraId="7A2B0BE0">
            <w:pPr>
              <w:spacing w:line="360" w:lineRule="auto"/>
              <w:jc w:val="left"/>
              <w:rPr>
                <w:color w:val="auto"/>
                <w:sz w:val="24"/>
                <w:szCs w:val="24"/>
                <w:highlight w:val="none"/>
              </w:rPr>
            </w:pPr>
            <w:r>
              <w:rPr>
                <w:color w:val="auto"/>
                <w:sz w:val="24"/>
                <w:szCs w:val="24"/>
                <w:highlight w:val="none"/>
              </w:rPr>
              <w:t>3、中标人应及时派员与普宁市市容环境卫生管理中心和原服务单位移交管理使用的压缩站、公厕，并确保正常管理使用，其水电费从合同</w:t>
            </w:r>
            <w:r>
              <w:rPr>
                <w:rFonts w:hint="eastAsia"/>
                <w:color w:val="auto"/>
                <w:sz w:val="24"/>
                <w:szCs w:val="24"/>
                <w:highlight w:val="none"/>
                <w:lang w:val="en-US" w:eastAsia="zh-CN"/>
              </w:rPr>
              <w:t>生效</w:t>
            </w:r>
            <w:r>
              <w:rPr>
                <w:color w:val="auto"/>
                <w:sz w:val="24"/>
                <w:szCs w:val="24"/>
                <w:highlight w:val="none"/>
              </w:rPr>
              <w:t>开始之日起计</w:t>
            </w:r>
            <w:r>
              <w:rPr>
                <w:rFonts w:hint="eastAsia"/>
                <w:color w:val="auto"/>
                <w:sz w:val="24"/>
                <w:szCs w:val="24"/>
                <w:highlight w:val="none"/>
                <w:lang w:val="en-US" w:eastAsia="zh-CN"/>
              </w:rPr>
              <w:t>算</w:t>
            </w:r>
            <w:r>
              <w:rPr>
                <w:color w:val="auto"/>
                <w:sz w:val="24"/>
                <w:szCs w:val="24"/>
                <w:highlight w:val="none"/>
              </w:rPr>
              <w:t>，由新的中标人按时足额交水电费，确保压缩站、公厕正常使用。</w:t>
            </w:r>
          </w:p>
        </w:tc>
      </w:tr>
      <w:tr w14:paraId="68688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shd w:val="clear" w:color="auto" w:fill="auto"/>
            <w:vAlign w:val="top"/>
          </w:tcPr>
          <w:p w14:paraId="6DA9A5E0">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w:t>
            </w:r>
          </w:p>
        </w:tc>
        <w:tc>
          <w:tcPr>
            <w:tcW w:w="743" w:type="dxa"/>
            <w:shd w:val="clear" w:color="auto" w:fill="auto"/>
            <w:vAlign w:val="top"/>
          </w:tcPr>
          <w:p w14:paraId="206D52D0">
            <w:pPr>
              <w:spacing w:line="36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2</w:t>
            </w:r>
          </w:p>
        </w:tc>
        <w:tc>
          <w:tcPr>
            <w:tcW w:w="1444" w:type="dxa"/>
            <w:shd w:val="clear" w:color="auto" w:fill="auto"/>
            <w:vAlign w:val="top"/>
          </w:tcPr>
          <w:p w14:paraId="0B92585C">
            <w:pPr>
              <w:spacing w:line="360" w:lineRule="auto"/>
              <w:rPr>
                <w:rFonts w:asciiTheme="minorHAnsi" w:hAnsiTheme="minorHAnsi" w:eastAsiaTheme="minorEastAsia" w:cstheme="minorBidi"/>
                <w:color w:val="auto"/>
                <w:kern w:val="2"/>
                <w:sz w:val="24"/>
                <w:szCs w:val="24"/>
                <w:highlight w:val="none"/>
                <w:lang w:val="en-US" w:eastAsia="zh-CN" w:bidi="ar-SA"/>
              </w:rPr>
            </w:pPr>
            <w:r>
              <w:rPr>
                <w:rFonts w:hint="eastAsia"/>
                <w:b w:val="0"/>
                <w:bCs w:val="0"/>
                <w:color w:val="auto"/>
                <w:sz w:val="24"/>
                <w:szCs w:val="24"/>
                <w:highlight w:val="none"/>
                <w:lang w:val="en-US" w:eastAsia="zh-CN"/>
              </w:rPr>
              <w:t>开立环卫工人工资专用账户（</w:t>
            </w:r>
            <w:r>
              <w:rPr>
                <w:rFonts w:hint="eastAsia"/>
                <w:color w:val="auto"/>
                <w:sz w:val="24"/>
                <w:szCs w:val="24"/>
                <w:highlight w:val="none"/>
                <w:lang w:val="en-US" w:eastAsia="zh-CN"/>
              </w:rPr>
              <w:t>投标时需提供承诺函。）</w:t>
            </w:r>
          </w:p>
        </w:tc>
        <w:tc>
          <w:tcPr>
            <w:tcW w:w="6541" w:type="dxa"/>
            <w:shd w:val="clear" w:color="auto" w:fill="auto"/>
            <w:vAlign w:val="top"/>
          </w:tcPr>
          <w:p w14:paraId="30E8B3BE">
            <w:pPr>
              <w:numPr>
                <w:ilvl w:val="0"/>
                <w:numId w:val="0"/>
              </w:numPr>
              <w:spacing w:line="360" w:lineRule="auto"/>
              <w:ind w:leftChars="0"/>
              <w:rPr>
                <w:rFonts w:hint="eastAsia"/>
                <w:color w:val="auto"/>
                <w:sz w:val="24"/>
                <w:szCs w:val="24"/>
                <w:highlight w:val="none"/>
                <w:lang w:val="en-US" w:eastAsia="zh-CN"/>
              </w:rPr>
            </w:pPr>
            <w:r>
              <w:rPr>
                <w:rFonts w:hint="eastAsia"/>
                <w:color w:val="auto"/>
                <w:sz w:val="24"/>
                <w:szCs w:val="24"/>
                <w:highlight w:val="none"/>
                <w:lang w:val="en-US" w:eastAsia="zh-CN"/>
              </w:rPr>
              <w:t>中标人必须开立环卫工人工资专用账户，按照（普</w:t>
            </w:r>
            <w:r>
              <w:rPr>
                <w:rFonts w:hint="default"/>
                <w:color w:val="auto"/>
                <w:sz w:val="24"/>
                <w:szCs w:val="24"/>
                <w:highlight w:val="none"/>
                <w:lang w:val="en-US" w:eastAsia="zh-CN"/>
              </w:rPr>
              <w:t>环〔2025〕39号</w:t>
            </w:r>
            <w:r>
              <w:rPr>
                <w:rFonts w:hint="eastAsia"/>
                <w:color w:val="auto"/>
                <w:sz w:val="24"/>
                <w:szCs w:val="24"/>
                <w:highlight w:val="none"/>
                <w:lang w:val="en-US" w:eastAsia="zh-CN"/>
              </w:rPr>
              <w:t>）关于转发《关于在全市环卫领域推行环卫工人工资</w:t>
            </w:r>
            <w:r>
              <w:rPr>
                <w:rFonts w:hint="default"/>
                <w:color w:val="auto"/>
                <w:sz w:val="24"/>
                <w:szCs w:val="24"/>
                <w:highlight w:val="none"/>
                <w:lang w:val="en-US" w:eastAsia="zh-CN"/>
              </w:rPr>
              <w:t>专用账户制度的通知》</w:t>
            </w:r>
            <w:r>
              <w:rPr>
                <w:rFonts w:hint="eastAsia"/>
                <w:color w:val="auto"/>
                <w:sz w:val="24"/>
                <w:szCs w:val="24"/>
                <w:highlight w:val="none"/>
                <w:lang w:val="en-US" w:eastAsia="zh-CN"/>
              </w:rPr>
              <w:t>的要求执行。若政府部门出台新的相关政策，则按最新的要求执行。</w:t>
            </w:r>
          </w:p>
          <w:p w14:paraId="4EBDF53D">
            <w:pPr>
              <w:numPr>
                <w:ilvl w:val="0"/>
                <w:numId w:val="0"/>
              </w:numPr>
              <w:spacing w:line="360" w:lineRule="auto"/>
              <w:ind w:leftChars="0"/>
              <w:rPr>
                <w:rFonts w:hint="eastAsia"/>
                <w:color w:val="auto"/>
                <w:sz w:val="24"/>
                <w:szCs w:val="24"/>
                <w:highlight w:val="none"/>
                <w:lang w:val="en-US" w:eastAsia="zh-CN"/>
              </w:rPr>
            </w:pPr>
            <w:r>
              <w:rPr>
                <w:rFonts w:hint="eastAsia"/>
                <w:color w:val="auto"/>
                <w:sz w:val="24"/>
                <w:szCs w:val="24"/>
                <w:highlight w:val="none"/>
                <w:lang w:val="en-US" w:eastAsia="zh-CN"/>
              </w:rPr>
              <w:t>（1）、账户开立与管理</w:t>
            </w:r>
          </w:p>
          <w:p w14:paraId="233CFC9B">
            <w:pPr>
              <w:numPr>
                <w:ilvl w:val="0"/>
                <w:numId w:val="0"/>
              </w:numPr>
              <w:spacing w:line="360" w:lineRule="auto"/>
              <w:ind w:leftChars="0"/>
              <w:rPr>
                <w:rFonts w:hint="eastAsia"/>
                <w:color w:val="auto"/>
                <w:sz w:val="24"/>
                <w:szCs w:val="24"/>
                <w:highlight w:val="none"/>
                <w:lang w:val="en-US" w:eastAsia="zh-CN"/>
              </w:rPr>
            </w:pPr>
            <w:r>
              <w:rPr>
                <w:rFonts w:hint="eastAsia"/>
                <w:color w:val="auto"/>
                <w:sz w:val="24"/>
                <w:szCs w:val="24"/>
                <w:highlight w:val="none"/>
                <w:lang w:val="en-US" w:eastAsia="zh-CN"/>
              </w:rPr>
              <w:t>中标人应当在合同签订之日起30日内到相关金融机构开立环卫工人工资专用账户，并与采购人、开户银行签订资金管理第三方协议。中标人在专用账户开立后的5个工作日内报当地环卫主管部门备案。专用账户资金专用于支付本环卫作业标段在招用的环卫工人工资。</w:t>
            </w:r>
          </w:p>
          <w:p w14:paraId="69886B5F">
            <w:pPr>
              <w:keepNext w:val="0"/>
              <w:keepLines w:val="0"/>
              <w:widowControl/>
              <w:suppressLineNumbers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（2）、合同约定与费用支付</w:t>
            </w:r>
          </w:p>
          <w:p w14:paraId="60CD85B4">
            <w:pPr>
              <w:keepNext w:val="0"/>
              <w:keepLines w:val="0"/>
              <w:widowControl/>
              <w:suppressLineNumbers w:val="0"/>
              <w:spacing w:line="360" w:lineRule="auto"/>
              <w:jc w:val="left"/>
              <w:rPr>
                <w:rFonts w:hint="default"/>
                <w:color w:val="auto"/>
                <w:sz w:val="24"/>
                <w:szCs w:val="24"/>
                <w:highlight w:val="none"/>
                <w:lang w:val="en-US" w:eastAsia="zh-CN"/>
              </w:rPr>
            </w:pPr>
            <w:r>
              <w:rPr>
                <w:rFonts w:hint="eastAsia"/>
                <w:color w:val="auto"/>
                <w:sz w:val="24"/>
                <w:szCs w:val="24"/>
                <w:highlight w:val="none"/>
                <w:lang w:val="en-US" w:eastAsia="zh-CN"/>
              </w:rPr>
              <w:t>中标人与采购人签订合同时，要参考招标人工费用测算，明确环卫工人工资占运营服务费的比例。采购人需将工资费用按时支付到专用账户，中标人收到费用后，应及时通过银行转账将工资发放至环卫工人个人实名银行账户。若因用工量增加等原因导致账户余额不足，中标人可与采购人签订补充协议调整工资费用比例，并通知开户银行。</w:t>
            </w:r>
          </w:p>
          <w:p w14:paraId="284E845C">
            <w:pPr>
              <w:keepNext w:val="0"/>
              <w:keepLines w:val="0"/>
              <w:widowControl/>
              <w:suppressLineNumbers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（3）、账户撤销流程</w:t>
            </w:r>
          </w:p>
          <w:p w14:paraId="70C5AC6D">
            <w:pPr>
              <w:spacing w:line="360" w:lineRule="auto"/>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当中标人服务期结束或中途撤出时，需撤销专用账户的，须先经采购人确认无拖欠工资情况，之后开户银行依据主管部门意见办理撤销手续，账户余额可由中标人作其他用途。</w:t>
            </w:r>
          </w:p>
        </w:tc>
      </w:tr>
      <w:tr w14:paraId="50B9E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618FC5A0">
            <w:pPr>
              <w:spacing w:line="360" w:lineRule="auto"/>
              <w:jc w:val="center"/>
              <w:rPr>
                <w:color w:val="auto"/>
                <w:sz w:val="24"/>
                <w:szCs w:val="24"/>
                <w:highlight w:val="none"/>
              </w:rPr>
            </w:pPr>
          </w:p>
        </w:tc>
        <w:tc>
          <w:tcPr>
            <w:tcW w:w="743" w:type="dxa"/>
          </w:tcPr>
          <w:p w14:paraId="02F93798">
            <w:pPr>
              <w:spacing w:line="360" w:lineRule="auto"/>
              <w:jc w:val="center"/>
              <w:rPr>
                <w:rFonts w:hint="eastAsia" w:eastAsiaTheme="minorEastAsia"/>
                <w:color w:val="auto"/>
                <w:sz w:val="24"/>
                <w:szCs w:val="24"/>
                <w:highlight w:val="none"/>
                <w:lang w:eastAsia="zh-CN"/>
              </w:rPr>
            </w:pPr>
            <w:r>
              <w:rPr>
                <w:rFonts w:hint="eastAsia"/>
                <w:color w:val="auto"/>
                <w:sz w:val="24"/>
                <w:szCs w:val="24"/>
                <w:highlight w:val="none"/>
                <w:lang w:val="en-US" w:eastAsia="zh-CN"/>
              </w:rPr>
              <w:t>3</w:t>
            </w:r>
          </w:p>
        </w:tc>
        <w:tc>
          <w:tcPr>
            <w:tcW w:w="1444" w:type="dxa"/>
          </w:tcPr>
          <w:p w14:paraId="6BCC4EF0">
            <w:pPr>
              <w:spacing w:line="360" w:lineRule="auto"/>
              <w:jc w:val="left"/>
              <w:rPr>
                <w:color w:val="auto"/>
                <w:sz w:val="24"/>
                <w:szCs w:val="24"/>
                <w:highlight w:val="none"/>
              </w:rPr>
            </w:pPr>
            <w:r>
              <w:rPr>
                <w:color w:val="auto"/>
                <w:sz w:val="24"/>
                <w:szCs w:val="24"/>
                <w:highlight w:val="none"/>
              </w:rPr>
              <w:t>本采购包承包期</w:t>
            </w:r>
          </w:p>
        </w:tc>
        <w:tc>
          <w:tcPr>
            <w:tcW w:w="6541" w:type="dxa"/>
          </w:tcPr>
          <w:p w14:paraId="3902B0F5">
            <w:pPr>
              <w:spacing w:line="360" w:lineRule="auto"/>
              <w:jc w:val="left"/>
              <w:rPr>
                <w:color w:val="auto"/>
                <w:sz w:val="24"/>
                <w:szCs w:val="24"/>
                <w:highlight w:val="none"/>
              </w:rPr>
            </w:pPr>
            <w:r>
              <w:rPr>
                <w:color w:val="auto"/>
                <w:sz w:val="24"/>
                <w:szCs w:val="24"/>
                <w:highlight w:val="none"/>
              </w:rPr>
              <w:t>本采购包承包期：3年。中标人须在签订政府采购合同前向采购人提交业务交接方案。因本项目实际情况，中标人应当自《中标通知书》发出之日起</w:t>
            </w:r>
            <w:r>
              <w:rPr>
                <w:rFonts w:hint="eastAsia"/>
                <w:strike w:val="0"/>
                <w:dstrike w:val="0"/>
                <w:color w:val="auto"/>
                <w:sz w:val="24"/>
                <w:szCs w:val="24"/>
                <w:highlight w:val="none"/>
                <w:lang w:val="en-US" w:eastAsia="zh-CN"/>
              </w:rPr>
              <w:t>20个日历天内</w:t>
            </w:r>
            <w:r>
              <w:rPr>
                <w:color w:val="auto"/>
                <w:sz w:val="24"/>
                <w:szCs w:val="24"/>
                <w:highlight w:val="none"/>
              </w:rPr>
              <w:t>（本要求若与本招标文件其他地方有冲突，以本要求为准），按照招标文件与中标供应商投标文件的约定与采购人签订合同，所签订的合同不得对招标文件做实质性修改。业务交接方案经采购人确认后，须在政府采购合同签订生效之日起5个日历天内完成全部交接工作和进场开展工作，并保证做好与采购人的交接工作。</w:t>
            </w:r>
          </w:p>
        </w:tc>
      </w:tr>
      <w:tr w14:paraId="7314B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2176D8C2">
            <w:pPr>
              <w:spacing w:line="360" w:lineRule="auto"/>
              <w:jc w:val="center"/>
              <w:rPr>
                <w:color w:val="auto"/>
                <w:sz w:val="24"/>
                <w:szCs w:val="24"/>
                <w:highlight w:val="none"/>
              </w:rPr>
            </w:pPr>
            <w:r>
              <w:rPr>
                <w:color w:val="auto"/>
                <w:sz w:val="24"/>
                <w:szCs w:val="24"/>
                <w:highlight w:val="none"/>
              </w:rPr>
              <w:t>说明</w:t>
            </w:r>
          </w:p>
        </w:tc>
        <w:tc>
          <w:tcPr>
            <w:tcW w:w="8728" w:type="dxa"/>
            <w:gridSpan w:val="3"/>
          </w:tcPr>
          <w:p w14:paraId="30A62AD1">
            <w:pPr>
              <w:spacing w:line="360" w:lineRule="auto"/>
              <w:jc w:val="left"/>
              <w:rPr>
                <w:color w:val="auto"/>
                <w:sz w:val="24"/>
                <w:szCs w:val="24"/>
                <w:highlight w:val="none"/>
              </w:rPr>
            </w:pPr>
            <w:r>
              <w:rPr>
                <w:color w:val="auto"/>
                <w:sz w:val="24"/>
                <w:szCs w:val="24"/>
                <w:highlight w:val="none"/>
              </w:rPr>
              <w:t>打“★”号条款为实质性条款，若有任何一条负偏离或不满足则导致投标（响应）无效。</w:t>
            </w:r>
            <w:r>
              <w:rPr>
                <w:color w:val="auto"/>
                <w:sz w:val="24"/>
                <w:szCs w:val="24"/>
                <w:highlight w:val="none"/>
              </w:rPr>
              <w:br w:type="textWrapping"/>
            </w:r>
            <w:r>
              <w:rPr>
                <w:color w:val="auto"/>
                <w:sz w:val="24"/>
                <w:szCs w:val="24"/>
                <w:highlight w:val="none"/>
              </w:rPr>
              <w:t>打“▲”号条款为重要参数（如有），若有部分“▲”条款未响应或不满足，将根据评审要求影响其得分，但不作为无效投标（响应）条款。</w:t>
            </w:r>
          </w:p>
        </w:tc>
      </w:tr>
    </w:tbl>
    <w:p w14:paraId="430677BC">
      <w:pPr>
        <w:spacing w:line="360" w:lineRule="auto"/>
        <w:rPr>
          <w:color w:val="auto"/>
          <w:sz w:val="24"/>
          <w:szCs w:val="24"/>
          <w:highlight w:val="none"/>
        </w:rPr>
      </w:pPr>
      <w:r>
        <w:rPr>
          <w:b/>
          <w:color w:val="auto"/>
          <w:sz w:val="24"/>
          <w:szCs w:val="24"/>
          <w:highlight w:val="none"/>
        </w:rPr>
        <w:t>2.技术标准与要求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1111"/>
        <w:gridCol w:w="1543"/>
        <w:gridCol w:w="804"/>
        <w:gridCol w:w="681"/>
        <w:gridCol w:w="1670"/>
        <w:gridCol w:w="1654"/>
        <w:gridCol w:w="913"/>
        <w:gridCol w:w="849"/>
      </w:tblGrid>
      <w:tr w14:paraId="5EA4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EB01EFD">
            <w:pPr>
              <w:spacing w:line="360" w:lineRule="auto"/>
              <w:jc w:val="center"/>
              <w:rPr>
                <w:color w:val="auto"/>
                <w:sz w:val="24"/>
                <w:szCs w:val="24"/>
                <w:highlight w:val="none"/>
              </w:rPr>
            </w:pPr>
            <w:r>
              <w:rPr>
                <w:color w:val="auto"/>
                <w:sz w:val="24"/>
                <w:szCs w:val="24"/>
                <w:highlight w:val="none"/>
              </w:rPr>
              <w:t>序号</w:t>
            </w:r>
          </w:p>
        </w:tc>
        <w:tc>
          <w:tcPr>
            <w:tcW w:w="1111" w:type="dxa"/>
          </w:tcPr>
          <w:p w14:paraId="1C653B42">
            <w:pPr>
              <w:spacing w:line="360" w:lineRule="auto"/>
              <w:jc w:val="center"/>
              <w:rPr>
                <w:color w:val="auto"/>
                <w:sz w:val="24"/>
                <w:szCs w:val="24"/>
                <w:highlight w:val="none"/>
              </w:rPr>
            </w:pPr>
            <w:r>
              <w:rPr>
                <w:color w:val="auto"/>
                <w:sz w:val="24"/>
                <w:szCs w:val="24"/>
                <w:highlight w:val="none"/>
              </w:rPr>
              <w:t>品目名称</w:t>
            </w:r>
          </w:p>
        </w:tc>
        <w:tc>
          <w:tcPr>
            <w:tcW w:w="1543" w:type="dxa"/>
          </w:tcPr>
          <w:p w14:paraId="3FED00FF">
            <w:pPr>
              <w:spacing w:line="360" w:lineRule="auto"/>
              <w:jc w:val="center"/>
              <w:rPr>
                <w:color w:val="auto"/>
                <w:sz w:val="24"/>
                <w:szCs w:val="24"/>
                <w:highlight w:val="none"/>
              </w:rPr>
            </w:pPr>
            <w:r>
              <w:rPr>
                <w:color w:val="auto"/>
                <w:sz w:val="24"/>
                <w:szCs w:val="24"/>
                <w:highlight w:val="none"/>
              </w:rPr>
              <w:t>标的名称</w:t>
            </w:r>
          </w:p>
        </w:tc>
        <w:tc>
          <w:tcPr>
            <w:tcW w:w="804" w:type="dxa"/>
          </w:tcPr>
          <w:p w14:paraId="0EE2E0F6">
            <w:pPr>
              <w:spacing w:line="360" w:lineRule="auto"/>
              <w:jc w:val="center"/>
              <w:rPr>
                <w:color w:val="auto"/>
                <w:sz w:val="24"/>
                <w:szCs w:val="24"/>
                <w:highlight w:val="none"/>
              </w:rPr>
            </w:pPr>
            <w:r>
              <w:rPr>
                <w:color w:val="auto"/>
                <w:sz w:val="24"/>
                <w:szCs w:val="24"/>
                <w:highlight w:val="none"/>
              </w:rPr>
              <w:t>单位</w:t>
            </w:r>
          </w:p>
        </w:tc>
        <w:tc>
          <w:tcPr>
            <w:tcW w:w="681" w:type="dxa"/>
          </w:tcPr>
          <w:p w14:paraId="0C1E32AF">
            <w:pPr>
              <w:spacing w:line="360" w:lineRule="auto"/>
              <w:jc w:val="center"/>
              <w:rPr>
                <w:color w:val="auto"/>
                <w:sz w:val="24"/>
                <w:szCs w:val="24"/>
                <w:highlight w:val="none"/>
              </w:rPr>
            </w:pPr>
            <w:r>
              <w:rPr>
                <w:color w:val="auto"/>
                <w:sz w:val="24"/>
                <w:szCs w:val="24"/>
                <w:highlight w:val="none"/>
              </w:rPr>
              <w:t>数量</w:t>
            </w:r>
          </w:p>
        </w:tc>
        <w:tc>
          <w:tcPr>
            <w:tcW w:w="1670" w:type="dxa"/>
          </w:tcPr>
          <w:p w14:paraId="0F94BDF5">
            <w:pPr>
              <w:spacing w:line="360" w:lineRule="auto"/>
              <w:jc w:val="center"/>
              <w:rPr>
                <w:color w:val="auto"/>
                <w:sz w:val="24"/>
                <w:szCs w:val="24"/>
                <w:highlight w:val="none"/>
              </w:rPr>
            </w:pPr>
            <w:r>
              <w:rPr>
                <w:color w:val="auto"/>
                <w:sz w:val="24"/>
                <w:szCs w:val="24"/>
                <w:highlight w:val="none"/>
              </w:rPr>
              <w:t>分项预算单价（元）</w:t>
            </w:r>
          </w:p>
        </w:tc>
        <w:tc>
          <w:tcPr>
            <w:tcW w:w="1654" w:type="dxa"/>
          </w:tcPr>
          <w:p w14:paraId="5D217D44">
            <w:pPr>
              <w:spacing w:line="360" w:lineRule="auto"/>
              <w:jc w:val="center"/>
              <w:rPr>
                <w:color w:val="auto"/>
                <w:sz w:val="24"/>
                <w:szCs w:val="24"/>
                <w:highlight w:val="none"/>
              </w:rPr>
            </w:pPr>
            <w:r>
              <w:rPr>
                <w:color w:val="auto"/>
                <w:sz w:val="24"/>
                <w:szCs w:val="24"/>
                <w:highlight w:val="none"/>
              </w:rPr>
              <w:t>分项预算总价（元）</w:t>
            </w:r>
          </w:p>
        </w:tc>
        <w:tc>
          <w:tcPr>
            <w:tcW w:w="913" w:type="dxa"/>
          </w:tcPr>
          <w:p w14:paraId="6EBF145A">
            <w:pPr>
              <w:spacing w:line="360" w:lineRule="auto"/>
              <w:rPr>
                <w:color w:val="auto"/>
                <w:sz w:val="24"/>
                <w:szCs w:val="24"/>
                <w:highlight w:val="none"/>
              </w:rPr>
            </w:pPr>
            <w:r>
              <w:rPr>
                <w:color w:val="auto"/>
                <w:sz w:val="24"/>
                <w:szCs w:val="24"/>
                <w:highlight w:val="none"/>
              </w:rPr>
              <w:t>所属行业</w:t>
            </w:r>
          </w:p>
        </w:tc>
        <w:tc>
          <w:tcPr>
            <w:tcW w:w="849" w:type="dxa"/>
          </w:tcPr>
          <w:p w14:paraId="7D5AF30D">
            <w:pPr>
              <w:spacing w:line="360" w:lineRule="auto"/>
              <w:jc w:val="center"/>
              <w:rPr>
                <w:color w:val="auto"/>
                <w:sz w:val="24"/>
                <w:szCs w:val="24"/>
                <w:highlight w:val="none"/>
              </w:rPr>
            </w:pPr>
            <w:r>
              <w:rPr>
                <w:color w:val="auto"/>
                <w:sz w:val="24"/>
                <w:szCs w:val="24"/>
                <w:highlight w:val="none"/>
              </w:rPr>
              <w:t>技术要求</w:t>
            </w:r>
          </w:p>
        </w:tc>
      </w:tr>
      <w:tr w14:paraId="13FBA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01A5F16">
            <w:pPr>
              <w:spacing w:line="360" w:lineRule="auto"/>
              <w:jc w:val="center"/>
              <w:rPr>
                <w:color w:val="auto"/>
                <w:sz w:val="24"/>
                <w:szCs w:val="24"/>
                <w:highlight w:val="none"/>
              </w:rPr>
            </w:pPr>
            <w:r>
              <w:rPr>
                <w:color w:val="auto"/>
                <w:sz w:val="24"/>
                <w:szCs w:val="24"/>
                <w:highlight w:val="none"/>
              </w:rPr>
              <w:t>1</w:t>
            </w:r>
          </w:p>
        </w:tc>
        <w:tc>
          <w:tcPr>
            <w:tcW w:w="1111" w:type="dxa"/>
          </w:tcPr>
          <w:p w14:paraId="12102DA4">
            <w:pPr>
              <w:spacing w:line="360" w:lineRule="auto"/>
              <w:jc w:val="left"/>
              <w:rPr>
                <w:color w:val="auto"/>
                <w:sz w:val="24"/>
                <w:szCs w:val="24"/>
                <w:highlight w:val="none"/>
              </w:rPr>
            </w:pPr>
            <w:r>
              <w:rPr>
                <w:color w:val="auto"/>
                <w:sz w:val="24"/>
                <w:szCs w:val="24"/>
                <w:highlight w:val="none"/>
              </w:rPr>
              <w:t>城镇公共卫生服务</w:t>
            </w:r>
          </w:p>
        </w:tc>
        <w:tc>
          <w:tcPr>
            <w:tcW w:w="1543" w:type="dxa"/>
          </w:tcPr>
          <w:p w14:paraId="5B92359E">
            <w:pPr>
              <w:spacing w:line="360" w:lineRule="auto"/>
              <w:jc w:val="left"/>
              <w:rPr>
                <w:color w:val="auto"/>
                <w:sz w:val="24"/>
                <w:szCs w:val="24"/>
                <w:highlight w:val="none"/>
              </w:rPr>
            </w:pPr>
            <w:r>
              <w:rPr>
                <w:color w:val="auto"/>
                <w:sz w:val="24"/>
                <w:szCs w:val="24"/>
                <w:highlight w:val="none"/>
              </w:rPr>
              <w:t>普宁市市区环卫作业外包服务（东片区）</w:t>
            </w:r>
          </w:p>
        </w:tc>
        <w:tc>
          <w:tcPr>
            <w:tcW w:w="804" w:type="dxa"/>
          </w:tcPr>
          <w:p w14:paraId="22D691A5">
            <w:pPr>
              <w:spacing w:line="360" w:lineRule="auto"/>
              <w:jc w:val="center"/>
              <w:rPr>
                <w:color w:val="auto"/>
                <w:sz w:val="24"/>
                <w:szCs w:val="24"/>
                <w:highlight w:val="none"/>
              </w:rPr>
            </w:pPr>
            <w:r>
              <w:rPr>
                <w:color w:val="auto"/>
                <w:sz w:val="24"/>
                <w:szCs w:val="24"/>
                <w:highlight w:val="none"/>
              </w:rPr>
              <w:t>年</w:t>
            </w:r>
          </w:p>
        </w:tc>
        <w:tc>
          <w:tcPr>
            <w:tcW w:w="681" w:type="dxa"/>
          </w:tcPr>
          <w:p w14:paraId="0D333986">
            <w:pPr>
              <w:spacing w:line="360" w:lineRule="auto"/>
              <w:jc w:val="center"/>
              <w:rPr>
                <w:color w:val="auto"/>
                <w:sz w:val="24"/>
                <w:szCs w:val="24"/>
                <w:highlight w:val="none"/>
              </w:rPr>
            </w:pPr>
            <w:r>
              <w:rPr>
                <w:color w:val="auto"/>
                <w:sz w:val="24"/>
                <w:szCs w:val="24"/>
                <w:highlight w:val="none"/>
              </w:rPr>
              <w:t>3.00</w:t>
            </w:r>
          </w:p>
        </w:tc>
        <w:tc>
          <w:tcPr>
            <w:tcW w:w="1670" w:type="dxa"/>
          </w:tcPr>
          <w:p w14:paraId="3717FF2B">
            <w:pPr>
              <w:spacing w:line="360" w:lineRule="auto"/>
              <w:jc w:val="center"/>
              <w:rPr>
                <w:rFonts w:hint="eastAsia" w:eastAsiaTheme="minorEastAsia"/>
                <w:color w:val="auto"/>
                <w:sz w:val="24"/>
                <w:szCs w:val="24"/>
                <w:highlight w:val="none"/>
                <w:lang w:eastAsia="zh-CN"/>
              </w:rPr>
            </w:pPr>
            <w:r>
              <w:rPr>
                <w:rFonts w:hint="eastAsia"/>
                <w:color w:val="auto"/>
                <w:sz w:val="24"/>
                <w:szCs w:val="24"/>
                <w:highlight w:val="none"/>
                <w:lang w:eastAsia="zh-CN"/>
              </w:rPr>
              <w:t>38841890.62</w:t>
            </w:r>
          </w:p>
        </w:tc>
        <w:tc>
          <w:tcPr>
            <w:tcW w:w="1654" w:type="dxa"/>
          </w:tcPr>
          <w:p w14:paraId="22AA3240">
            <w:pPr>
              <w:spacing w:line="360" w:lineRule="auto"/>
              <w:jc w:val="right"/>
              <w:rPr>
                <w:rFonts w:hint="eastAsia" w:eastAsiaTheme="minorEastAsia"/>
                <w:color w:val="auto"/>
                <w:sz w:val="24"/>
                <w:szCs w:val="24"/>
                <w:highlight w:val="none"/>
                <w:lang w:eastAsia="zh-CN"/>
              </w:rPr>
            </w:pPr>
            <w:r>
              <w:rPr>
                <w:rFonts w:hint="eastAsia"/>
                <w:color w:val="auto"/>
                <w:sz w:val="24"/>
                <w:szCs w:val="24"/>
                <w:highlight w:val="none"/>
                <w:lang w:eastAsia="zh-CN"/>
              </w:rPr>
              <w:t>116525671.86</w:t>
            </w:r>
          </w:p>
        </w:tc>
        <w:tc>
          <w:tcPr>
            <w:tcW w:w="913" w:type="dxa"/>
          </w:tcPr>
          <w:p w14:paraId="56981691">
            <w:pPr>
              <w:spacing w:line="360" w:lineRule="auto"/>
              <w:rPr>
                <w:color w:val="auto"/>
                <w:sz w:val="24"/>
                <w:szCs w:val="24"/>
                <w:highlight w:val="none"/>
              </w:rPr>
            </w:pPr>
            <w:r>
              <w:rPr>
                <w:color w:val="auto"/>
                <w:sz w:val="24"/>
                <w:szCs w:val="24"/>
                <w:highlight w:val="none"/>
              </w:rPr>
              <w:t>其他未列明行业</w:t>
            </w:r>
          </w:p>
        </w:tc>
        <w:tc>
          <w:tcPr>
            <w:tcW w:w="849" w:type="dxa"/>
          </w:tcPr>
          <w:p w14:paraId="4606D460">
            <w:pPr>
              <w:spacing w:line="360" w:lineRule="auto"/>
              <w:rPr>
                <w:color w:val="auto"/>
                <w:sz w:val="24"/>
                <w:szCs w:val="24"/>
                <w:highlight w:val="none"/>
              </w:rPr>
            </w:pPr>
            <w:r>
              <w:rPr>
                <w:color w:val="auto"/>
                <w:sz w:val="24"/>
                <w:szCs w:val="24"/>
                <w:highlight w:val="none"/>
              </w:rPr>
              <w:t>详见附表一</w:t>
            </w:r>
          </w:p>
        </w:tc>
      </w:tr>
    </w:tbl>
    <w:p w14:paraId="03300E7B">
      <w:pPr>
        <w:spacing w:line="360" w:lineRule="auto"/>
        <w:rPr>
          <w:color w:val="auto"/>
          <w:sz w:val="24"/>
          <w:szCs w:val="24"/>
          <w:highlight w:val="none"/>
        </w:rPr>
      </w:pPr>
      <w:r>
        <w:rPr>
          <w:b/>
          <w:color w:val="auto"/>
          <w:sz w:val="24"/>
          <w:szCs w:val="24"/>
          <w:highlight w:val="none"/>
        </w:rPr>
        <w:t>附表一：普宁市市区环卫作业外包服务（东片区）</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0"/>
        <w:gridCol w:w="630"/>
        <w:gridCol w:w="8328"/>
      </w:tblGrid>
      <w:tr w14:paraId="4B93D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5EECC0DD">
            <w:pPr>
              <w:spacing w:line="360" w:lineRule="auto"/>
              <w:rPr>
                <w:color w:val="auto"/>
                <w:sz w:val="24"/>
                <w:szCs w:val="24"/>
                <w:highlight w:val="none"/>
              </w:rPr>
            </w:pPr>
            <w:r>
              <w:rPr>
                <w:color w:val="auto"/>
                <w:sz w:val="24"/>
                <w:szCs w:val="24"/>
                <w:highlight w:val="none"/>
              </w:rPr>
              <w:t>参数性质</w:t>
            </w:r>
          </w:p>
        </w:tc>
        <w:tc>
          <w:tcPr>
            <w:tcW w:w="630" w:type="dxa"/>
          </w:tcPr>
          <w:p w14:paraId="71B27211">
            <w:pPr>
              <w:spacing w:line="360" w:lineRule="auto"/>
              <w:rPr>
                <w:color w:val="auto"/>
                <w:sz w:val="24"/>
                <w:szCs w:val="24"/>
                <w:highlight w:val="none"/>
              </w:rPr>
            </w:pPr>
            <w:r>
              <w:rPr>
                <w:color w:val="auto"/>
                <w:sz w:val="24"/>
                <w:szCs w:val="24"/>
                <w:highlight w:val="none"/>
              </w:rPr>
              <w:t>序号</w:t>
            </w:r>
          </w:p>
        </w:tc>
        <w:tc>
          <w:tcPr>
            <w:tcW w:w="8328" w:type="dxa"/>
          </w:tcPr>
          <w:p w14:paraId="65BC3163">
            <w:pPr>
              <w:spacing w:line="360" w:lineRule="auto"/>
              <w:rPr>
                <w:color w:val="auto"/>
                <w:sz w:val="24"/>
                <w:szCs w:val="24"/>
                <w:highlight w:val="none"/>
              </w:rPr>
            </w:pPr>
            <w:r>
              <w:rPr>
                <w:color w:val="auto"/>
                <w:sz w:val="24"/>
                <w:szCs w:val="24"/>
                <w:highlight w:val="none"/>
              </w:rPr>
              <w:t>具体技术(参数)要求</w:t>
            </w:r>
          </w:p>
        </w:tc>
      </w:tr>
      <w:tr w14:paraId="0D797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2856BABA">
            <w:pPr>
              <w:spacing w:line="360" w:lineRule="auto"/>
              <w:rPr>
                <w:color w:val="auto"/>
                <w:sz w:val="24"/>
                <w:szCs w:val="24"/>
                <w:highlight w:val="none"/>
              </w:rPr>
            </w:pPr>
          </w:p>
        </w:tc>
        <w:tc>
          <w:tcPr>
            <w:tcW w:w="630" w:type="dxa"/>
          </w:tcPr>
          <w:p w14:paraId="408522FF">
            <w:pPr>
              <w:spacing w:line="360" w:lineRule="auto"/>
              <w:rPr>
                <w:color w:val="auto"/>
                <w:sz w:val="24"/>
                <w:szCs w:val="24"/>
                <w:highlight w:val="none"/>
              </w:rPr>
            </w:pPr>
            <w:r>
              <w:rPr>
                <w:color w:val="auto"/>
                <w:sz w:val="24"/>
                <w:szCs w:val="24"/>
                <w:highlight w:val="none"/>
              </w:rPr>
              <w:t>1</w:t>
            </w:r>
          </w:p>
        </w:tc>
        <w:tc>
          <w:tcPr>
            <w:tcW w:w="8328" w:type="dxa"/>
          </w:tcPr>
          <w:p w14:paraId="4E684910">
            <w:pPr>
              <w:spacing w:line="360" w:lineRule="auto"/>
              <w:jc w:val="left"/>
              <w:rPr>
                <w:color w:val="auto"/>
                <w:sz w:val="24"/>
                <w:szCs w:val="24"/>
                <w:highlight w:val="none"/>
              </w:rPr>
            </w:pPr>
            <w:r>
              <w:rPr>
                <w:color w:val="auto"/>
                <w:sz w:val="24"/>
                <w:szCs w:val="24"/>
                <w:highlight w:val="none"/>
              </w:rPr>
              <w:t>服务范围：</w:t>
            </w:r>
          </w:p>
          <w:p w14:paraId="5CB81366">
            <w:pPr>
              <w:spacing w:line="360" w:lineRule="auto"/>
              <w:jc w:val="left"/>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lang w:eastAsia="zh-CN"/>
              </w:rPr>
              <w:t>普宁市市区环卫作业外包东片区服务区域四至：新河东路、玉华路以东，环北路以南，东埔平交、揭神路以西，普宁大道、环城南路以北及北二环、环市东路等部分外围主要道路。服务范围主要是道路、居民区、公园广场、临时集市、绿地，公厕14座，生活垃圾压缩中转站21座，东片区清扫保洁面积合计共473.49450万平方米</w:t>
            </w:r>
            <w:r>
              <w:rPr>
                <w:rFonts w:hint="eastAsia"/>
                <w:color w:val="auto"/>
                <w:sz w:val="24"/>
                <w:szCs w:val="24"/>
                <w:highlight w:val="none"/>
              </w:rPr>
              <w:t>。</w:t>
            </w:r>
          </w:p>
          <w:p w14:paraId="42E84A16">
            <w:pPr>
              <w:spacing w:line="360" w:lineRule="auto"/>
              <w:rPr>
                <w:color w:val="auto"/>
                <w:sz w:val="24"/>
                <w:szCs w:val="24"/>
                <w:highlight w:val="none"/>
              </w:rPr>
            </w:pPr>
            <w:r>
              <w:rPr>
                <w:b w:val="0"/>
                <w:bCs w:val="0"/>
                <w:color w:val="auto"/>
                <w:sz w:val="24"/>
                <w:szCs w:val="24"/>
                <w:highlight w:val="none"/>
              </w:rPr>
              <w:t>2、垃圾转运：</w:t>
            </w:r>
            <w:r>
              <w:rPr>
                <w:color w:val="auto"/>
                <w:sz w:val="24"/>
                <w:szCs w:val="24"/>
                <w:highlight w:val="none"/>
              </w:rPr>
              <w:t>普宁市区东片区产</w:t>
            </w:r>
            <w:r>
              <w:rPr>
                <w:rFonts w:hint="eastAsia"/>
                <w:color w:val="auto"/>
                <w:sz w:val="24"/>
                <w:szCs w:val="24"/>
                <w:highlight w:val="none"/>
                <w:lang w:val="en-US" w:eastAsia="zh-CN"/>
              </w:rPr>
              <w:t>生的</w:t>
            </w:r>
            <w:r>
              <w:rPr>
                <w:color w:val="auto"/>
                <w:sz w:val="24"/>
                <w:szCs w:val="24"/>
                <w:highlight w:val="none"/>
              </w:rPr>
              <w:t>垃圾总量</w:t>
            </w:r>
            <w:r>
              <w:rPr>
                <w:rFonts w:hint="eastAsia"/>
                <w:color w:val="auto"/>
                <w:sz w:val="24"/>
                <w:szCs w:val="24"/>
                <w:highlight w:val="none"/>
                <w:lang w:val="en-US" w:eastAsia="zh-CN"/>
              </w:rPr>
              <w:t>为</w:t>
            </w:r>
            <w:r>
              <w:rPr>
                <w:rFonts w:hint="eastAsia"/>
                <w:strike w:val="0"/>
                <w:dstrike w:val="0"/>
                <w:color w:val="auto"/>
                <w:sz w:val="24"/>
                <w:szCs w:val="24"/>
                <w:highlight w:val="none"/>
              </w:rPr>
              <w:t>429</w:t>
            </w:r>
            <w:r>
              <w:rPr>
                <w:color w:val="auto"/>
                <w:sz w:val="24"/>
                <w:szCs w:val="24"/>
                <w:highlight w:val="none"/>
              </w:rPr>
              <w:t>吨/天，在收集压缩后统一运往普宁市生活垃圾环保处理中心（以下</w:t>
            </w:r>
            <w:r>
              <w:rPr>
                <w:rFonts w:hint="eastAsia"/>
                <w:color w:val="auto"/>
                <w:sz w:val="24"/>
                <w:szCs w:val="24"/>
                <w:highlight w:val="none"/>
                <w:lang w:val="en-US" w:eastAsia="zh-CN"/>
              </w:rPr>
              <w:t>简</w:t>
            </w:r>
            <w:r>
              <w:rPr>
                <w:color w:val="auto"/>
                <w:sz w:val="24"/>
                <w:szCs w:val="24"/>
                <w:highlight w:val="none"/>
              </w:rPr>
              <w:t>称环保处理中心）。具体如下：</w:t>
            </w:r>
          </w:p>
          <w:p w14:paraId="29A8B609">
            <w:pPr>
              <w:numPr>
                <w:ilvl w:val="0"/>
                <w:numId w:val="0"/>
              </w:numPr>
              <w:spacing w:line="360" w:lineRule="auto"/>
              <w:jc w:val="both"/>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rPr>
              <w:t>、</w:t>
            </w:r>
            <w:r>
              <w:rPr>
                <w:rFonts w:hint="eastAsia"/>
                <w:color w:val="auto"/>
                <w:sz w:val="24"/>
                <w:szCs w:val="24"/>
                <w:highlight w:val="none"/>
                <w:lang w:eastAsia="zh-CN"/>
              </w:rPr>
              <w:t>普宁市区东片管理区域产生的垃圾量为318吨/天</w:t>
            </w:r>
            <w:r>
              <w:rPr>
                <w:rFonts w:hint="eastAsia"/>
                <w:color w:val="auto"/>
                <w:sz w:val="24"/>
                <w:szCs w:val="24"/>
                <w:highlight w:val="none"/>
              </w:rPr>
              <w:t>。</w:t>
            </w:r>
          </w:p>
          <w:p w14:paraId="2E4A9BA6">
            <w:pPr>
              <w:numPr>
                <w:ilvl w:val="0"/>
                <w:numId w:val="0"/>
              </w:numPr>
              <w:spacing w:line="360" w:lineRule="auto"/>
              <w:jc w:val="both"/>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、普宁市区东片外围村、封闭式物业园区自行清扫、保洁、收集至压台垃圾量为111吨/天（只计压缩站转运到普宁市垃圾环保处理中心运载费用）。</w:t>
            </w:r>
          </w:p>
          <w:p w14:paraId="55BDD1AB">
            <w:pPr>
              <w:numPr>
                <w:ilvl w:val="0"/>
                <w:numId w:val="0"/>
              </w:numPr>
              <w:spacing w:line="360" w:lineRule="auto"/>
              <w:jc w:val="both"/>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rPr>
              <w:t>、东片平均运距以14公里计。</w:t>
            </w:r>
          </w:p>
          <w:p w14:paraId="134EB6F9">
            <w:pPr>
              <w:spacing w:line="360" w:lineRule="auto"/>
              <w:jc w:val="left"/>
              <w:rPr>
                <w:color w:val="auto"/>
                <w:sz w:val="24"/>
                <w:szCs w:val="24"/>
                <w:highlight w:val="none"/>
              </w:rPr>
            </w:pPr>
            <w:r>
              <w:rPr>
                <w:color w:val="auto"/>
                <w:sz w:val="24"/>
                <w:szCs w:val="24"/>
                <w:highlight w:val="none"/>
              </w:rPr>
              <w:t>3、市区服务区域</w:t>
            </w:r>
            <w:r>
              <w:rPr>
                <w:rFonts w:hint="eastAsia"/>
                <w:color w:val="auto"/>
                <w:sz w:val="24"/>
                <w:szCs w:val="24"/>
                <w:highlight w:val="none"/>
                <w:lang w:val="en-US" w:eastAsia="zh-CN"/>
              </w:rPr>
              <w:t>范围</w:t>
            </w:r>
            <w:r>
              <w:rPr>
                <w:color w:val="auto"/>
                <w:sz w:val="24"/>
                <w:szCs w:val="24"/>
                <w:highlight w:val="none"/>
              </w:rPr>
              <w:t>内且在服务期间因需要新建的压缩站产生的垃圾，中标人应无条件将压缩站产生的生活垃圾转运至环保处理中心处理，不另计费。</w:t>
            </w:r>
          </w:p>
          <w:p w14:paraId="042DF4D5">
            <w:pPr>
              <w:spacing w:line="360" w:lineRule="auto"/>
              <w:jc w:val="left"/>
              <w:rPr>
                <w:rFonts w:hint="eastAsia"/>
                <w:b w:val="0"/>
                <w:bCs w:val="0"/>
                <w:color w:val="auto"/>
                <w:sz w:val="24"/>
                <w:szCs w:val="24"/>
                <w:highlight w:val="none"/>
                <w:lang w:val="en-US" w:eastAsia="zh-CN"/>
              </w:rPr>
            </w:pPr>
            <w:r>
              <w:rPr>
                <w:rFonts w:hint="eastAsia"/>
                <w:color w:val="auto"/>
                <w:sz w:val="24"/>
                <w:szCs w:val="24"/>
                <w:highlight w:val="none"/>
                <w:lang w:val="en-US" w:eastAsia="zh-CN"/>
              </w:rPr>
              <w:t>4</w:t>
            </w:r>
            <w:r>
              <w:rPr>
                <w:rFonts w:hint="eastAsia"/>
                <w:b w:val="0"/>
                <w:bCs w:val="0"/>
                <w:color w:val="auto"/>
                <w:sz w:val="24"/>
                <w:szCs w:val="24"/>
                <w:highlight w:val="none"/>
                <w:lang w:val="en-US" w:eastAsia="zh-CN"/>
              </w:rPr>
              <w:t>、流沙新河（北二环桥至环城南路桥）面积30.2592万平方米，河段水面保洁、两侧石篱坝本次不纳入外包服务范围，河面打捞保洁工作由揭阳市生态环境局普宁分局负责。</w:t>
            </w:r>
          </w:p>
          <w:p w14:paraId="6C3F7E18">
            <w:pPr>
              <w:spacing w:line="360" w:lineRule="auto"/>
              <w:jc w:val="left"/>
              <w:rPr>
                <w:rFonts w:hint="default"/>
                <w:color w:val="auto"/>
                <w:sz w:val="24"/>
                <w:szCs w:val="24"/>
                <w:highlight w:val="none"/>
                <w:lang w:val="en-US" w:eastAsia="zh-CN"/>
              </w:rPr>
            </w:pPr>
            <w:r>
              <w:rPr>
                <w:rFonts w:hint="eastAsia"/>
                <w:b w:val="0"/>
                <w:bCs w:val="0"/>
                <w:color w:val="auto"/>
                <w:sz w:val="24"/>
                <w:szCs w:val="24"/>
                <w:highlight w:val="none"/>
                <w:lang w:val="en-US" w:eastAsia="zh-CN"/>
              </w:rPr>
              <w:t>以上</w:t>
            </w:r>
            <w:r>
              <w:rPr>
                <w:b w:val="0"/>
                <w:bCs w:val="0"/>
                <w:color w:val="auto"/>
                <w:sz w:val="24"/>
                <w:szCs w:val="24"/>
                <w:highlight w:val="none"/>
              </w:rPr>
              <w:t>详细</w:t>
            </w:r>
            <w:r>
              <w:rPr>
                <w:rFonts w:hint="eastAsia"/>
                <w:b w:val="0"/>
                <w:bCs w:val="0"/>
                <w:color w:val="auto"/>
                <w:sz w:val="24"/>
                <w:szCs w:val="24"/>
                <w:highlight w:val="none"/>
                <w:lang w:val="en-US" w:eastAsia="zh-CN"/>
              </w:rPr>
              <w:t>服务范围</w:t>
            </w:r>
            <w:r>
              <w:rPr>
                <w:b w:val="0"/>
                <w:bCs w:val="0"/>
                <w:color w:val="auto"/>
                <w:sz w:val="24"/>
                <w:szCs w:val="24"/>
                <w:highlight w:val="none"/>
              </w:rPr>
              <w:t>见公告附件《</w:t>
            </w:r>
            <w:r>
              <w:rPr>
                <w:rFonts w:hint="eastAsia"/>
                <w:b w:val="0"/>
                <w:bCs w:val="0"/>
                <w:color w:val="auto"/>
                <w:sz w:val="24"/>
                <w:szCs w:val="24"/>
                <w:highlight w:val="none"/>
              </w:rPr>
              <w:t>普宁市市区环境卫生清扫保洁区区域一览表（东片区）</w:t>
            </w:r>
            <w:r>
              <w:rPr>
                <w:b w:val="0"/>
                <w:bCs w:val="0"/>
                <w:color w:val="auto"/>
                <w:sz w:val="24"/>
                <w:szCs w:val="24"/>
                <w:highlight w:val="none"/>
              </w:rPr>
              <w:t>》</w:t>
            </w:r>
            <w:r>
              <w:rPr>
                <w:rFonts w:hint="eastAsia"/>
                <w:b w:val="0"/>
                <w:bCs w:val="0"/>
                <w:color w:val="auto"/>
                <w:sz w:val="24"/>
                <w:szCs w:val="24"/>
                <w:highlight w:val="none"/>
                <w:lang w:eastAsia="zh-CN"/>
              </w:rPr>
              <w:t>《普宁市区压缩台受纳垃圾量及运距明细表（东片区）》《普宁市区公厕明细表（东片区）》《公园广场（东片区）》《居民区面积（</w:t>
            </w:r>
            <w:r>
              <w:rPr>
                <w:rFonts w:hint="eastAsia"/>
                <w:b w:val="0"/>
                <w:bCs w:val="0"/>
                <w:color w:val="auto"/>
                <w:sz w:val="24"/>
                <w:szCs w:val="24"/>
                <w:highlight w:val="none"/>
                <w:lang w:val="en-US" w:eastAsia="zh-CN"/>
              </w:rPr>
              <w:t>东片区）》</w:t>
            </w:r>
            <w:r>
              <w:rPr>
                <w:b w:val="0"/>
                <w:bCs w:val="0"/>
                <w:color w:val="auto"/>
                <w:sz w:val="24"/>
                <w:szCs w:val="24"/>
                <w:highlight w:val="none"/>
              </w:rPr>
              <w:t>。</w:t>
            </w:r>
          </w:p>
        </w:tc>
      </w:tr>
      <w:tr w14:paraId="32E36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3DC0B7B6">
            <w:pPr>
              <w:spacing w:line="360" w:lineRule="auto"/>
              <w:rPr>
                <w:color w:val="auto"/>
                <w:sz w:val="24"/>
                <w:szCs w:val="24"/>
                <w:highlight w:val="none"/>
              </w:rPr>
            </w:pPr>
          </w:p>
        </w:tc>
        <w:tc>
          <w:tcPr>
            <w:tcW w:w="630" w:type="dxa"/>
          </w:tcPr>
          <w:p w14:paraId="022879C3">
            <w:pPr>
              <w:spacing w:line="360" w:lineRule="auto"/>
              <w:rPr>
                <w:color w:val="auto"/>
                <w:sz w:val="24"/>
                <w:szCs w:val="24"/>
                <w:highlight w:val="none"/>
              </w:rPr>
            </w:pPr>
            <w:r>
              <w:rPr>
                <w:color w:val="auto"/>
                <w:sz w:val="24"/>
                <w:szCs w:val="24"/>
                <w:highlight w:val="none"/>
              </w:rPr>
              <w:t>2</w:t>
            </w:r>
          </w:p>
        </w:tc>
        <w:tc>
          <w:tcPr>
            <w:tcW w:w="8328" w:type="dxa"/>
          </w:tcPr>
          <w:p w14:paraId="36B61844">
            <w:pPr>
              <w:spacing w:line="360" w:lineRule="auto"/>
              <w:jc w:val="left"/>
              <w:rPr>
                <w:color w:val="auto"/>
                <w:sz w:val="24"/>
                <w:szCs w:val="24"/>
                <w:highlight w:val="none"/>
              </w:rPr>
            </w:pPr>
            <w:r>
              <w:rPr>
                <w:b/>
                <w:color w:val="auto"/>
                <w:sz w:val="24"/>
                <w:szCs w:val="24"/>
                <w:highlight w:val="none"/>
              </w:rPr>
              <w:t>服务内容及要求</w:t>
            </w:r>
          </w:p>
          <w:p w14:paraId="5336F915">
            <w:pPr>
              <w:spacing w:line="360" w:lineRule="auto"/>
              <w:rPr>
                <w:color w:val="auto"/>
                <w:sz w:val="24"/>
                <w:szCs w:val="24"/>
                <w:highlight w:val="none"/>
              </w:rPr>
            </w:pPr>
            <w:r>
              <w:rPr>
                <w:color w:val="auto"/>
                <w:sz w:val="24"/>
                <w:szCs w:val="24"/>
                <w:highlight w:val="none"/>
              </w:rPr>
              <w:t>服务内容主要有服务区域内主次干道、居民区巷道和集市、河道、公厕、公共广场、公园和压缩</w:t>
            </w:r>
            <w:r>
              <w:rPr>
                <w:rFonts w:hint="eastAsia"/>
                <w:color w:val="auto"/>
                <w:sz w:val="24"/>
                <w:szCs w:val="24"/>
                <w:highlight w:val="none"/>
                <w:lang w:val="en-US" w:eastAsia="zh-CN"/>
              </w:rPr>
              <w:t>站</w:t>
            </w:r>
            <w:r>
              <w:rPr>
                <w:color w:val="auto"/>
                <w:sz w:val="24"/>
                <w:szCs w:val="24"/>
                <w:highlight w:val="none"/>
              </w:rPr>
              <w:t>清扫保洁，服务区域内生活垃圾转运至环保处理中心等保洁工作。</w:t>
            </w:r>
          </w:p>
          <w:p w14:paraId="631922D6">
            <w:pPr>
              <w:spacing w:line="360" w:lineRule="auto"/>
              <w:rPr>
                <w:color w:val="auto"/>
                <w:sz w:val="24"/>
                <w:szCs w:val="24"/>
                <w:highlight w:val="none"/>
              </w:rPr>
            </w:pPr>
            <w:r>
              <w:rPr>
                <w:color w:val="auto"/>
                <w:sz w:val="24"/>
                <w:szCs w:val="24"/>
                <w:highlight w:val="none"/>
              </w:rPr>
              <w:t>1、服务要求主要为：</w:t>
            </w:r>
          </w:p>
          <w:p w14:paraId="36E1F4E3">
            <w:pPr>
              <w:spacing w:line="360" w:lineRule="auto"/>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流沙大道按一级清扫保洁，每天清扫保洁16小时，路面按每日两扫，每天二洗。作业时间为：第一次清扫，05:00～07:00，保洁时间，07:30～12:00；第二次清扫，12</w:t>
            </w:r>
            <w:r>
              <w:rPr>
                <w:rFonts w:hint="eastAsia"/>
                <w:color w:val="auto"/>
                <w:sz w:val="24"/>
                <w:szCs w:val="24"/>
                <w:highlight w:val="none"/>
                <w:lang w:val="en-US" w:eastAsia="zh-CN"/>
              </w:rPr>
              <w:t>:</w:t>
            </w:r>
            <w:r>
              <w:rPr>
                <w:color w:val="auto"/>
                <w:sz w:val="24"/>
                <w:szCs w:val="24"/>
                <w:highlight w:val="none"/>
              </w:rPr>
              <w:t>00～13</w:t>
            </w:r>
            <w:r>
              <w:rPr>
                <w:rFonts w:hint="eastAsia"/>
                <w:color w:val="auto"/>
                <w:sz w:val="24"/>
                <w:szCs w:val="24"/>
                <w:highlight w:val="none"/>
                <w:lang w:val="en-US" w:eastAsia="zh-CN"/>
              </w:rPr>
              <w:t>:</w:t>
            </w:r>
            <w:r>
              <w:rPr>
                <w:color w:val="auto"/>
                <w:sz w:val="24"/>
                <w:szCs w:val="24"/>
                <w:highlight w:val="none"/>
              </w:rPr>
              <w:t>30，保洁时间，13:30～21:30；</w:t>
            </w:r>
          </w:p>
          <w:p w14:paraId="17E1C01A">
            <w:pPr>
              <w:spacing w:line="360" w:lineRule="auto"/>
              <w:rPr>
                <w:rFonts w:hint="eastAsia" w:eastAsiaTheme="minorEastAsia"/>
                <w:color w:val="auto"/>
                <w:sz w:val="24"/>
                <w:szCs w:val="24"/>
                <w:highlight w:val="none"/>
                <w:lang w:eastAsia="zh-CN"/>
              </w:rPr>
            </w:pPr>
            <w:r>
              <w:rPr>
                <w:color w:val="auto"/>
                <w:sz w:val="24"/>
                <w:szCs w:val="24"/>
                <w:highlight w:val="none"/>
              </w:rPr>
              <w:t>(2)</w:t>
            </w:r>
            <w:r>
              <w:rPr>
                <w:rFonts w:hint="eastAsia"/>
                <w:color w:val="auto"/>
                <w:sz w:val="24"/>
                <w:szCs w:val="24"/>
                <w:highlight w:val="none"/>
                <w:lang w:eastAsia="zh-CN"/>
              </w:rPr>
              <w:t>二级、三级、四级清扫保洁道路、机动车道按每天二扫，非机动车道、人行道按人工每天一扫，一、二、三、四级道路按一天、二天、三天、七天一洗，每天清扫保洁16小时；</w:t>
            </w:r>
          </w:p>
          <w:p w14:paraId="1926D3B1">
            <w:pPr>
              <w:spacing w:line="360" w:lineRule="auto"/>
              <w:rPr>
                <w:color w:val="auto"/>
                <w:sz w:val="24"/>
                <w:szCs w:val="24"/>
                <w:highlight w:val="none"/>
              </w:rPr>
            </w:pPr>
            <w:r>
              <w:rPr>
                <w:color w:val="auto"/>
                <w:sz w:val="24"/>
                <w:szCs w:val="24"/>
                <w:highlight w:val="none"/>
              </w:rPr>
              <w:t>(3)居民区巷道按四级清扫保洁、每天一扫，每天清扫保洁8小时，清扫时间为05:00～07:00，第一段保洁时间为08:00～10:00，第二段保洁时间为15:00～19:00；</w:t>
            </w:r>
          </w:p>
          <w:p w14:paraId="48C3C362">
            <w:pPr>
              <w:spacing w:line="360" w:lineRule="auto"/>
              <w:rPr>
                <w:color w:val="auto"/>
                <w:sz w:val="24"/>
                <w:szCs w:val="24"/>
                <w:highlight w:val="none"/>
              </w:rPr>
            </w:pPr>
            <w:r>
              <w:rPr>
                <w:color w:val="auto"/>
                <w:sz w:val="24"/>
                <w:szCs w:val="24"/>
                <w:highlight w:val="none"/>
              </w:rPr>
              <w:t>(4)农贸市场、临时集市地段按四级清扫保洁，按每天二扫，每天清扫保洁16小时；</w:t>
            </w:r>
          </w:p>
          <w:p w14:paraId="3E12C78B">
            <w:pPr>
              <w:spacing w:line="360" w:lineRule="auto"/>
              <w:rPr>
                <w:color w:val="auto"/>
                <w:sz w:val="24"/>
                <w:szCs w:val="24"/>
                <w:highlight w:val="none"/>
              </w:rPr>
            </w:pPr>
            <w:r>
              <w:rPr>
                <w:color w:val="auto"/>
                <w:sz w:val="24"/>
                <w:szCs w:val="24"/>
                <w:highlight w:val="none"/>
              </w:rPr>
              <w:t>(5)公厕分为专人管理/非专人管理，作业时间为06:00～23:00；</w:t>
            </w:r>
          </w:p>
          <w:p w14:paraId="18F17F00">
            <w:pPr>
              <w:spacing w:line="360" w:lineRule="auto"/>
              <w:rPr>
                <w:rFonts w:hint="eastAsia" w:eastAsiaTheme="minorEastAsia"/>
                <w:strike w:val="0"/>
                <w:dstrike w:val="0"/>
                <w:color w:val="auto"/>
                <w:sz w:val="24"/>
                <w:szCs w:val="24"/>
                <w:highlight w:val="none"/>
                <w:lang w:eastAsia="zh-CN"/>
              </w:rPr>
            </w:pPr>
            <w:r>
              <w:rPr>
                <w:color w:val="auto"/>
                <w:sz w:val="24"/>
                <w:szCs w:val="24"/>
                <w:highlight w:val="none"/>
              </w:rPr>
              <w:t>(6)</w:t>
            </w:r>
            <w:r>
              <w:rPr>
                <w:rFonts w:hint="eastAsia"/>
                <w:color w:val="auto"/>
                <w:sz w:val="24"/>
                <w:szCs w:val="24"/>
                <w:highlight w:val="none"/>
                <w:lang w:eastAsia="zh-CN"/>
              </w:rPr>
              <w:t>高铁站前广场保洁16小时，保洁时间为05:00～12:00，12:00～21:00；其他广场、公园按一、二、三级清扫保洁，按每天一扫，每天清扫保洁12小时，保洁时间为05:00～11:00，14:00～20:00保洁</w:t>
            </w:r>
            <w:r>
              <w:rPr>
                <w:rFonts w:hint="eastAsia"/>
                <w:strike w:val="0"/>
                <w:dstrike w:val="0"/>
                <w:color w:val="auto"/>
                <w:sz w:val="24"/>
                <w:szCs w:val="24"/>
                <w:highlight w:val="none"/>
                <w:lang w:eastAsia="zh-CN"/>
              </w:rPr>
              <w:t>；</w:t>
            </w:r>
          </w:p>
          <w:p w14:paraId="5F36DF45">
            <w:pPr>
              <w:spacing w:line="360" w:lineRule="auto"/>
              <w:rPr>
                <w:color w:val="auto"/>
                <w:sz w:val="24"/>
                <w:szCs w:val="24"/>
                <w:highlight w:val="none"/>
              </w:rPr>
            </w:pPr>
            <w:r>
              <w:rPr>
                <w:color w:val="auto"/>
                <w:sz w:val="24"/>
                <w:szCs w:val="24"/>
                <w:highlight w:val="none"/>
              </w:rPr>
              <w:t>(7)居民区内公共活动场所按四级清扫保洁、每天一扫，每天清扫保洁8小时，作业时间同居民区；</w:t>
            </w:r>
          </w:p>
          <w:p w14:paraId="1EAFFB93">
            <w:pPr>
              <w:spacing w:line="360" w:lineRule="auto"/>
              <w:rPr>
                <w:rFonts w:hint="eastAsia" w:eastAsiaTheme="minorEastAsia"/>
                <w:color w:val="auto"/>
                <w:sz w:val="24"/>
                <w:szCs w:val="24"/>
                <w:highlight w:val="none"/>
                <w:lang w:eastAsia="zh-CN"/>
              </w:rPr>
            </w:pPr>
            <w:r>
              <w:rPr>
                <w:color w:val="auto"/>
                <w:sz w:val="24"/>
                <w:szCs w:val="24"/>
                <w:highlight w:val="none"/>
              </w:rPr>
              <w:t>(</w:t>
            </w:r>
            <w:r>
              <w:rPr>
                <w:rFonts w:hint="eastAsia"/>
                <w:color w:val="auto"/>
                <w:sz w:val="24"/>
                <w:szCs w:val="24"/>
                <w:highlight w:val="none"/>
                <w:lang w:val="en-US" w:eastAsia="zh-CN"/>
              </w:rPr>
              <w:t>8</w:t>
            </w:r>
            <w:r>
              <w:rPr>
                <w:color w:val="auto"/>
                <w:sz w:val="24"/>
                <w:szCs w:val="24"/>
                <w:highlight w:val="none"/>
              </w:rPr>
              <w:t>)清扫及居民垃圾收集后应运至垃圾压缩站进行压缩，并运往环保处理中心</w:t>
            </w:r>
            <w:r>
              <w:rPr>
                <w:rFonts w:hint="eastAsia"/>
                <w:color w:val="auto"/>
                <w:sz w:val="24"/>
                <w:szCs w:val="24"/>
                <w:highlight w:val="none"/>
                <w:lang w:eastAsia="zh-CN"/>
              </w:rPr>
              <w:t>。</w:t>
            </w:r>
          </w:p>
          <w:p w14:paraId="45C52AAA">
            <w:pPr>
              <w:spacing w:line="360" w:lineRule="auto"/>
              <w:rPr>
                <w:b w:val="0"/>
                <w:bCs w:val="0"/>
                <w:color w:val="auto"/>
                <w:sz w:val="24"/>
                <w:szCs w:val="24"/>
                <w:highlight w:val="none"/>
              </w:rPr>
            </w:pPr>
            <w:r>
              <w:rPr>
                <w:b w:val="0"/>
                <w:bCs w:val="0"/>
                <w:color w:val="auto"/>
                <w:sz w:val="24"/>
                <w:szCs w:val="24"/>
                <w:highlight w:val="none"/>
              </w:rPr>
              <w:t>以上清扫保洁作业标准详细内容及要求见</w:t>
            </w:r>
            <w:r>
              <w:rPr>
                <w:rFonts w:hint="eastAsia"/>
                <w:b w:val="0"/>
                <w:bCs w:val="0"/>
                <w:color w:val="auto"/>
                <w:sz w:val="24"/>
                <w:szCs w:val="24"/>
                <w:highlight w:val="none"/>
                <w:lang w:val="en-US" w:eastAsia="zh-CN"/>
              </w:rPr>
              <w:t>公告附件</w:t>
            </w:r>
            <w:r>
              <w:rPr>
                <w:b w:val="0"/>
                <w:bCs w:val="0"/>
                <w:color w:val="auto"/>
                <w:sz w:val="24"/>
                <w:szCs w:val="24"/>
                <w:highlight w:val="none"/>
              </w:rPr>
              <w:t>《</w:t>
            </w:r>
            <w:r>
              <w:rPr>
                <w:rFonts w:hint="eastAsia"/>
                <w:b w:val="0"/>
                <w:bCs w:val="0"/>
                <w:color w:val="auto"/>
                <w:sz w:val="24"/>
                <w:szCs w:val="24"/>
                <w:highlight w:val="none"/>
              </w:rPr>
              <w:t>普宁市市区环境卫生清扫保洁区区域一览表（东片区）</w:t>
            </w:r>
            <w:r>
              <w:rPr>
                <w:b w:val="0"/>
                <w:bCs w:val="0"/>
                <w:color w:val="auto"/>
                <w:sz w:val="24"/>
                <w:szCs w:val="24"/>
                <w:highlight w:val="none"/>
              </w:rPr>
              <w:t>》</w:t>
            </w:r>
            <w:r>
              <w:rPr>
                <w:rFonts w:hint="eastAsia"/>
                <w:b w:val="0"/>
                <w:bCs w:val="0"/>
                <w:color w:val="auto"/>
                <w:sz w:val="24"/>
                <w:szCs w:val="24"/>
                <w:highlight w:val="none"/>
                <w:lang w:eastAsia="zh-CN"/>
              </w:rPr>
              <w:t>《普宁市区压缩台受纳垃圾量及运距明细表（东片区）》《普宁市区公厕明细表（东片区）》</w:t>
            </w:r>
            <w:r>
              <w:rPr>
                <w:rFonts w:hint="eastAsia"/>
                <w:b w:val="0"/>
                <w:bCs w:val="0"/>
                <w:color w:val="auto"/>
                <w:sz w:val="24"/>
                <w:szCs w:val="24"/>
                <w:highlight w:val="none"/>
                <w:lang w:val="en-US" w:eastAsia="zh-CN"/>
              </w:rPr>
              <w:t xml:space="preserve"> </w:t>
            </w:r>
            <w:r>
              <w:rPr>
                <w:rFonts w:hint="eastAsia"/>
                <w:b w:val="0"/>
                <w:bCs w:val="0"/>
                <w:color w:val="auto"/>
                <w:sz w:val="24"/>
                <w:szCs w:val="24"/>
                <w:highlight w:val="none"/>
                <w:lang w:eastAsia="zh-CN"/>
              </w:rPr>
              <w:t>《公园广场（东片区）》《居民区面积（</w:t>
            </w:r>
            <w:r>
              <w:rPr>
                <w:rFonts w:hint="eastAsia"/>
                <w:b w:val="0"/>
                <w:bCs w:val="0"/>
                <w:color w:val="auto"/>
                <w:sz w:val="24"/>
                <w:szCs w:val="24"/>
                <w:highlight w:val="none"/>
                <w:lang w:val="en-US" w:eastAsia="zh-CN"/>
              </w:rPr>
              <w:t>东片区）》</w:t>
            </w:r>
            <w:r>
              <w:rPr>
                <w:b w:val="0"/>
                <w:bCs w:val="0"/>
                <w:color w:val="auto"/>
                <w:sz w:val="24"/>
                <w:szCs w:val="24"/>
                <w:highlight w:val="none"/>
              </w:rPr>
              <w:t>。</w:t>
            </w:r>
          </w:p>
          <w:p w14:paraId="6999EAB0">
            <w:pPr>
              <w:spacing w:line="360" w:lineRule="auto"/>
              <w:rPr>
                <w:color w:val="auto"/>
                <w:sz w:val="24"/>
                <w:szCs w:val="24"/>
                <w:highlight w:val="none"/>
              </w:rPr>
            </w:pPr>
            <w:r>
              <w:rPr>
                <w:color w:val="auto"/>
                <w:sz w:val="24"/>
                <w:szCs w:val="24"/>
                <w:highlight w:val="none"/>
              </w:rPr>
              <w:t>2、道路交通护栏、隔离栏每周一洗。作业质量标准：护栏清洗保洁要干净、整齐，见本底色。</w:t>
            </w:r>
          </w:p>
          <w:p w14:paraId="57EE36E7">
            <w:pPr>
              <w:spacing w:line="360" w:lineRule="auto"/>
              <w:rPr>
                <w:color w:val="auto"/>
                <w:sz w:val="24"/>
                <w:szCs w:val="24"/>
                <w:highlight w:val="none"/>
              </w:rPr>
            </w:pPr>
            <w:r>
              <w:rPr>
                <w:color w:val="auto"/>
                <w:sz w:val="24"/>
                <w:szCs w:val="24"/>
                <w:highlight w:val="none"/>
              </w:rPr>
              <w:t xml:space="preserve">3、按国家法律法规的有关规定加强安全生产管理。 </w:t>
            </w:r>
          </w:p>
          <w:p w14:paraId="4580CD49">
            <w:pPr>
              <w:spacing w:line="360" w:lineRule="auto"/>
              <w:rPr>
                <w:color w:val="auto"/>
                <w:sz w:val="24"/>
                <w:szCs w:val="24"/>
                <w:highlight w:val="none"/>
              </w:rPr>
            </w:pPr>
            <w:r>
              <w:rPr>
                <w:color w:val="auto"/>
                <w:sz w:val="24"/>
                <w:szCs w:val="24"/>
                <w:highlight w:val="none"/>
              </w:rPr>
              <w:t>4、重视对废旧家具、工业垃圾、</w:t>
            </w:r>
            <w:r>
              <w:rPr>
                <w:rFonts w:hint="eastAsia"/>
                <w:color w:val="auto"/>
                <w:sz w:val="24"/>
                <w:szCs w:val="24"/>
                <w:highlight w:val="none"/>
                <w:lang w:val="en-US" w:eastAsia="zh-CN"/>
              </w:rPr>
              <w:t>少量</w:t>
            </w:r>
            <w:r>
              <w:rPr>
                <w:color w:val="auto"/>
                <w:sz w:val="24"/>
                <w:szCs w:val="24"/>
                <w:highlight w:val="none"/>
              </w:rPr>
              <w:t>建筑垃圾的清理，增加清理频次，提高工作质量。不得将垃圾、尘土等扫入沉沙井盖。</w:t>
            </w:r>
          </w:p>
          <w:p w14:paraId="6EC01EB0">
            <w:pPr>
              <w:spacing w:line="360" w:lineRule="auto"/>
              <w:rPr>
                <w:color w:val="auto"/>
                <w:sz w:val="24"/>
                <w:szCs w:val="24"/>
                <w:highlight w:val="none"/>
              </w:rPr>
            </w:pPr>
            <w:r>
              <w:rPr>
                <w:color w:val="auto"/>
                <w:sz w:val="24"/>
                <w:szCs w:val="24"/>
                <w:highlight w:val="none"/>
              </w:rPr>
              <w:t>5、应做到垃圾日产日清，垃圾转运站及周边应保持卫生清洁，无臭味，站内无垃圾杂物堆积。</w:t>
            </w:r>
          </w:p>
          <w:p w14:paraId="73DB14AF">
            <w:pPr>
              <w:spacing w:line="360" w:lineRule="auto"/>
              <w:rPr>
                <w:color w:val="auto"/>
                <w:sz w:val="24"/>
                <w:szCs w:val="24"/>
                <w:highlight w:val="none"/>
              </w:rPr>
            </w:pPr>
            <w:r>
              <w:rPr>
                <w:color w:val="auto"/>
                <w:sz w:val="24"/>
                <w:szCs w:val="24"/>
                <w:highlight w:val="none"/>
              </w:rPr>
              <w:t>6、公厕管理符合卫生质量要求，卫生、整洁、配套齐全（达到二类以上公厕标准）、无异味。</w:t>
            </w:r>
          </w:p>
          <w:p w14:paraId="0132E8E9">
            <w:pPr>
              <w:spacing w:line="360" w:lineRule="auto"/>
              <w:rPr>
                <w:color w:val="auto"/>
                <w:sz w:val="24"/>
                <w:szCs w:val="24"/>
                <w:highlight w:val="none"/>
              </w:rPr>
            </w:pPr>
            <w:r>
              <w:rPr>
                <w:color w:val="auto"/>
                <w:sz w:val="24"/>
                <w:szCs w:val="24"/>
                <w:highlight w:val="none"/>
              </w:rPr>
              <w:t>7、对路面无主</w:t>
            </w:r>
            <w:r>
              <w:rPr>
                <w:rFonts w:hint="eastAsia"/>
                <w:color w:val="auto"/>
                <w:sz w:val="24"/>
                <w:szCs w:val="24"/>
                <w:highlight w:val="none"/>
                <w:lang w:val="en-US" w:eastAsia="zh-CN"/>
              </w:rPr>
              <w:t>少量</w:t>
            </w:r>
            <w:r>
              <w:rPr>
                <w:color w:val="auto"/>
                <w:sz w:val="24"/>
                <w:szCs w:val="24"/>
                <w:highlight w:val="none"/>
              </w:rPr>
              <w:t>建筑垃圾、余泥渣土应及时清理干净，对道路撒漏建筑散体及时清理，同时将上述垃圾清运至指定地点消纳处理。对有主建筑垃圾、余泥渣土，由职能部门责令其清运，并对其违反有关规定的行为进行处罚。</w:t>
            </w:r>
          </w:p>
          <w:p w14:paraId="51BF17B3">
            <w:pPr>
              <w:spacing w:line="360" w:lineRule="auto"/>
              <w:rPr>
                <w:color w:val="auto"/>
                <w:sz w:val="24"/>
                <w:szCs w:val="24"/>
                <w:highlight w:val="none"/>
              </w:rPr>
            </w:pPr>
            <w:r>
              <w:rPr>
                <w:color w:val="auto"/>
                <w:sz w:val="24"/>
                <w:szCs w:val="24"/>
                <w:highlight w:val="none"/>
              </w:rPr>
              <w:t>8、对乱涂画、乱张贴应及时清理，作业时间原则上与路面清扫保洁时间同步。</w:t>
            </w:r>
          </w:p>
          <w:p w14:paraId="43B44DDA">
            <w:pPr>
              <w:spacing w:line="360" w:lineRule="auto"/>
              <w:rPr>
                <w:color w:val="auto"/>
                <w:sz w:val="24"/>
                <w:szCs w:val="24"/>
                <w:highlight w:val="none"/>
              </w:rPr>
            </w:pPr>
            <w:r>
              <w:rPr>
                <w:color w:val="auto"/>
                <w:sz w:val="24"/>
                <w:szCs w:val="24"/>
                <w:highlight w:val="none"/>
              </w:rPr>
              <w:t>9、重点道路、广场、人员密集场所等每周至少冲洗1次。</w:t>
            </w:r>
          </w:p>
          <w:p w14:paraId="325EDFA2">
            <w:pPr>
              <w:spacing w:line="360" w:lineRule="auto"/>
              <w:rPr>
                <w:color w:val="auto"/>
                <w:sz w:val="24"/>
                <w:szCs w:val="24"/>
                <w:highlight w:val="none"/>
              </w:rPr>
            </w:pPr>
            <w:r>
              <w:rPr>
                <w:color w:val="auto"/>
                <w:sz w:val="24"/>
                <w:szCs w:val="24"/>
                <w:highlight w:val="none"/>
              </w:rPr>
              <w:t>10、每天对垃圾保洁车、垃圾桶、果皮箱进行清洗不少于1次，确保整洁，不影响市容。</w:t>
            </w:r>
          </w:p>
          <w:p w14:paraId="19538521">
            <w:pPr>
              <w:spacing w:line="360" w:lineRule="auto"/>
              <w:rPr>
                <w:color w:val="auto"/>
                <w:sz w:val="24"/>
                <w:szCs w:val="24"/>
                <w:highlight w:val="none"/>
              </w:rPr>
            </w:pPr>
            <w:r>
              <w:rPr>
                <w:color w:val="auto"/>
                <w:sz w:val="24"/>
                <w:szCs w:val="24"/>
                <w:highlight w:val="none"/>
              </w:rPr>
              <w:t>11、垃圾装车点必须专人管理，桶容干净，无垃圾落地，不造成环境的二次污染。</w:t>
            </w:r>
          </w:p>
          <w:p w14:paraId="380BC6F0">
            <w:pPr>
              <w:spacing w:line="360" w:lineRule="auto"/>
              <w:rPr>
                <w:color w:val="auto"/>
                <w:sz w:val="24"/>
                <w:szCs w:val="24"/>
                <w:highlight w:val="none"/>
              </w:rPr>
            </w:pPr>
            <w:r>
              <w:rPr>
                <w:color w:val="auto"/>
                <w:sz w:val="24"/>
                <w:szCs w:val="24"/>
                <w:highlight w:val="none"/>
              </w:rPr>
              <w:t>12、垃圾桶、保洁车、小水车及其它环卫作业工具应按规定位置有序停放。</w:t>
            </w:r>
          </w:p>
          <w:p w14:paraId="11E5C237">
            <w:pPr>
              <w:spacing w:line="360" w:lineRule="auto"/>
              <w:rPr>
                <w:color w:val="auto"/>
                <w:sz w:val="24"/>
                <w:szCs w:val="24"/>
                <w:highlight w:val="none"/>
              </w:rPr>
            </w:pPr>
            <w:r>
              <w:rPr>
                <w:color w:val="auto"/>
                <w:sz w:val="24"/>
                <w:szCs w:val="24"/>
                <w:highlight w:val="none"/>
              </w:rPr>
              <w:t>13、做好环卫设施设备【如</w:t>
            </w:r>
            <w:r>
              <w:rPr>
                <w:rFonts w:hint="eastAsia"/>
                <w:color w:val="auto"/>
                <w:sz w:val="24"/>
                <w:szCs w:val="24"/>
                <w:highlight w:val="none"/>
                <w:lang w:val="en-US" w:eastAsia="zh-CN"/>
              </w:rPr>
              <w:t>压缩站</w:t>
            </w:r>
            <w:r>
              <w:rPr>
                <w:color w:val="auto"/>
                <w:sz w:val="24"/>
                <w:szCs w:val="24"/>
                <w:highlight w:val="none"/>
              </w:rPr>
              <w:t>、果皮箱、保洁车、小水车、工具房、垃圾桶、人力（助力）清扫车等】的维修保养，统一编号，保证环卫设施功能齐全，干净整洁，正常使用。未经采购人同意，中标人不得对市政道路的设施设置进行变更。</w:t>
            </w:r>
          </w:p>
          <w:p w14:paraId="5A33603F">
            <w:pPr>
              <w:spacing w:line="360" w:lineRule="auto"/>
              <w:rPr>
                <w:color w:val="auto"/>
                <w:sz w:val="24"/>
                <w:szCs w:val="24"/>
                <w:highlight w:val="none"/>
              </w:rPr>
            </w:pPr>
            <w:r>
              <w:rPr>
                <w:color w:val="auto"/>
                <w:sz w:val="24"/>
                <w:szCs w:val="24"/>
                <w:highlight w:val="none"/>
              </w:rPr>
              <w:t>14、作业期间必须按规定穿着统一的环卫工作服、反光衣（带）等，工作服、反光衣（带）由中标人负责投入。</w:t>
            </w:r>
          </w:p>
          <w:p w14:paraId="79D41D6D">
            <w:pPr>
              <w:spacing w:line="360" w:lineRule="auto"/>
              <w:rPr>
                <w:color w:val="auto"/>
                <w:sz w:val="24"/>
                <w:szCs w:val="24"/>
                <w:highlight w:val="none"/>
              </w:rPr>
            </w:pPr>
            <w:r>
              <w:rPr>
                <w:color w:val="auto"/>
                <w:sz w:val="24"/>
                <w:szCs w:val="24"/>
                <w:highlight w:val="none"/>
              </w:rPr>
              <w:t>15、采购人将</w:t>
            </w:r>
            <w:r>
              <w:rPr>
                <w:rFonts w:hint="eastAsia"/>
                <w:color w:val="auto"/>
                <w:sz w:val="24"/>
                <w:szCs w:val="24"/>
                <w:highlight w:val="none"/>
                <w:lang w:val="en-US" w:eastAsia="zh-CN"/>
              </w:rPr>
              <w:t>压缩站</w:t>
            </w:r>
            <w:r>
              <w:rPr>
                <w:color w:val="auto"/>
                <w:sz w:val="24"/>
                <w:szCs w:val="24"/>
                <w:highlight w:val="none"/>
              </w:rPr>
              <w:t>、果皮箱、工具房、垃圾桶按现状移交中标人管理，并由中标人负责更新和增配</w:t>
            </w:r>
            <w:r>
              <w:rPr>
                <w:rFonts w:hint="eastAsia"/>
                <w:color w:val="auto"/>
                <w:sz w:val="24"/>
                <w:szCs w:val="24"/>
                <w:highlight w:val="none"/>
                <w:lang w:val="en-US" w:eastAsia="zh-CN"/>
              </w:rPr>
              <w:t>设施</w:t>
            </w:r>
            <w:r>
              <w:rPr>
                <w:color w:val="auto"/>
                <w:sz w:val="24"/>
                <w:szCs w:val="24"/>
                <w:highlight w:val="none"/>
              </w:rPr>
              <w:t>，中标人根据作业规范要求，负责对上述设施进行管理、维护、保养，其中果皮箱、垃圾桶及时更新，规格由采购人根据上级部门的要求和作业需要予以指定。合同期满后中标人要如数归还由采购人提供使用的设备、设施（包括但不限于</w:t>
            </w:r>
            <w:r>
              <w:rPr>
                <w:rFonts w:hint="eastAsia"/>
                <w:color w:val="auto"/>
                <w:sz w:val="24"/>
                <w:szCs w:val="24"/>
                <w:highlight w:val="none"/>
                <w:lang w:val="en-US" w:eastAsia="zh-CN"/>
              </w:rPr>
              <w:t>压缩站</w:t>
            </w:r>
            <w:r>
              <w:rPr>
                <w:color w:val="auto"/>
                <w:sz w:val="24"/>
                <w:szCs w:val="24"/>
                <w:highlight w:val="none"/>
              </w:rPr>
              <w:t>、果皮箱、工具房、垃圾桶等），若数量不足或设备已严重损坏的，中标人需按新购价赔偿。中标人服务期内配设的分类垃圾桶、果皮箱不得拆除，应保持原状并使用良好。</w:t>
            </w:r>
          </w:p>
          <w:p w14:paraId="19E84461">
            <w:pPr>
              <w:spacing w:line="360" w:lineRule="auto"/>
              <w:rPr>
                <w:color w:val="auto"/>
                <w:sz w:val="24"/>
                <w:szCs w:val="24"/>
                <w:highlight w:val="none"/>
              </w:rPr>
            </w:pPr>
            <w:r>
              <w:rPr>
                <w:color w:val="auto"/>
                <w:sz w:val="24"/>
                <w:szCs w:val="24"/>
                <w:highlight w:val="none"/>
              </w:rPr>
              <w:t>16、中标人须接受采购人对作业质量的监管，并做好重大检查、活动期间，或紧急情况下的环卫作业。</w:t>
            </w:r>
          </w:p>
          <w:p w14:paraId="632D91BD">
            <w:pPr>
              <w:spacing w:line="360" w:lineRule="auto"/>
              <w:rPr>
                <w:color w:val="auto"/>
                <w:sz w:val="24"/>
                <w:szCs w:val="24"/>
                <w:highlight w:val="none"/>
              </w:rPr>
            </w:pPr>
            <w:r>
              <w:rPr>
                <w:color w:val="auto"/>
                <w:sz w:val="24"/>
                <w:szCs w:val="24"/>
                <w:highlight w:val="none"/>
              </w:rPr>
              <w:t>17、按照采购人要求，中标人应无条件做好市政府布置的临时性、阶段性任务（含检查、突击整治、重大节假日及活动等）中的环卫作业。在执行临时性、阶段性任务（含国家、省、市检查，突击整治，重大活动等）期间，其作业质量要求高于上述标准的，按该任务的具体要求执行。</w:t>
            </w:r>
          </w:p>
          <w:p w14:paraId="595A6DE0">
            <w:pPr>
              <w:spacing w:line="360" w:lineRule="auto"/>
              <w:rPr>
                <w:color w:val="auto"/>
                <w:sz w:val="24"/>
                <w:szCs w:val="24"/>
                <w:highlight w:val="none"/>
              </w:rPr>
            </w:pPr>
            <w:r>
              <w:rPr>
                <w:color w:val="auto"/>
                <w:sz w:val="24"/>
                <w:szCs w:val="24"/>
                <w:highlight w:val="none"/>
              </w:rPr>
              <w:t>18、负责做好城中村垃圾收集、压缩运输工作。</w:t>
            </w:r>
          </w:p>
          <w:p w14:paraId="09DA4F81">
            <w:pPr>
              <w:spacing w:line="360" w:lineRule="auto"/>
              <w:rPr>
                <w:color w:val="auto"/>
                <w:sz w:val="24"/>
                <w:szCs w:val="24"/>
                <w:highlight w:val="none"/>
              </w:rPr>
            </w:pPr>
            <w:r>
              <w:rPr>
                <w:color w:val="auto"/>
                <w:sz w:val="24"/>
                <w:szCs w:val="24"/>
                <w:highlight w:val="none"/>
              </w:rPr>
              <w:t>19、中标人应做好应对自然灾害及突发事件的应急工作方案及其实施工作。</w:t>
            </w:r>
          </w:p>
          <w:p w14:paraId="25CB7A71">
            <w:pPr>
              <w:spacing w:line="360" w:lineRule="auto"/>
              <w:rPr>
                <w:color w:val="auto"/>
                <w:sz w:val="24"/>
                <w:szCs w:val="24"/>
                <w:highlight w:val="none"/>
              </w:rPr>
            </w:pPr>
            <w:r>
              <w:rPr>
                <w:color w:val="auto"/>
                <w:sz w:val="24"/>
                <w:szCs w:val="24"/>
                <w:highlight w:val="none"/>
              </w:rPr>
              <w:t>20、负责道路保洁作业所需的所有环卫设施的管理、维护、保养；负责果皮箱、垃圾桶的更新。</w:t>
            </w:r>
          </w:p>
          <w:p w14:paraId="17EB4E28">
            <w:pPr>
              <w:spacing w:line="360" w:lineRule="auto"/>
              <w:rPr>
                <w:color w:val="auto"/>
                <w:sz w:val="24"/>
                <w:szCs w:val="24"/>
                <w:highlight w:val="none"/>
              </w:rPr>
            </w:pPr>
            <w:r>
              <w:rPr>
                <w:color w:val="auto"/>
                <w:sz w:val="24"/>
                <w:szCs w:val="24"/>
                <w:highlight w:val="none"/>
              </w:rPr>
              <w:t>21、根据采购人的要求，中标人负责派员协助洒水车冲洗范围的清扫作业。</w:t>
            </w:r>
          </w:p>
          <w:p w14:paraId="1CB95EBC">
            <w:pPr>
              <w:spacing w:line="360" w:lineRule="auto"/>
              <w:rPr>
                <w:color w:val="auto"/>
                <w:sz w:val="24"/>
                <w:szCs w:val="24"/>
                <w:highlight w:val="none"/>
              </w:rPr>
            </w:pPr>
            <w:r>
              <w:rPr>
                <w:color w:val="auto"/>
                <w:sz w:val="24"/>
                <w:szCs w:val="24"/>
                <w:highlight w:val="none"/>
              </w:rPr>
              <w:t>22、中标人负责清理项目范围内的乱张贴、乱涂画。</w:t>
            </w:r>
          </w:p>
          <w:p w14:paraId="77ACE352">
            <w:pPr>
              <w:spacing w:line="360" w:lineRule="auto"/>
              <w:rPr>
                <w:color w:val="auto"/>
                <w:sz w:val="24"/>
                <w:szCs w:val="24"/>
                <w:highlight w:val="none"/>
              </w:rPr>
            </w:pPr>
            <w:r>
              <w:rPr>
                <w:color w:val="auto"/>
                <w:sz w:val="24"/>
                <w:szCs w:val="24"/>
                <w:highlight w:val="none"/>
              </w:rPr>
              <w:t>23、中标人必须配</w:t>
            </w:r>
            <w:r>
              <w:rPr>
                <w:rFonts w:hint="eastAsia"/>
                <w:color w:val="auto"/>
                <w:sz w:val="24"/>
                <w:szCs w:val="24"/>
                <w:highlight w:val="none"/>
                <w:lang w:val="en-US" w:eastAsia="zh-CN"/>
              </w:rPr>
              <w:t>备</w:t>
            </w:r>
            <w:r>
              <w:rPr>
                <w:color w:val="auto"/>
                <w:sz w:val="24"/>
                <w:szCs w:val="24"/>
                <w:highlight w:val="none"/>
              </w:rPr>
              <w:t>足够人员服务本项目，人工作业时其人工承担清扫保洁面积不得超工作量用工。一级道路（主干道）4500㎡/人，二级道路（次干道）5000㎡/人，三级道路（一般道路）5500㎡/人，四级道路（小街巷）6000㎡/人，以上每天反复扫，人口密集繁华地段应适当减少面积。</w:t>
            </w:r>
          </w:p>
          <w:p w14:paraId="7092AB2A">
            <w:pPr>
              <w:spacing w:line="360" w:lineRule="auto"/>
              <w:rPr>
                <w:color w:val="auto"/>
                <w:sz w:val="24"/>
                <w:szCs w:val="24"/>
                <w:highlight w:val="none"/>
              </w:rPr>
            </w:pPr>
            <w:r>
              <w:rPr>
                <w:color w:val="auto"/>
                <w:sz w:val="24"/>
                <w:szCs w:val="24"/>
                <w:highlight w:val="none"/>
              </w:rPr>
              <w:t>24、中标人需在签订合同之日起10个工作日内需配足车辆及车辆相关证件，满足垃圾运载和道路清洗、降尘、清扫，道路清扫机械作业应达到80%以上，压缩站运输车辆配设按每站1.2辆车配设，</w:t>
            </w:r>
            <w:r>
              <w:rPr>
                <w:rFonts w:hint="eastAsia"/>
                <w:color w:val="auto"/>
                <w:sz w:val="24"/>
                <w:szCs w:val="24"/>
                <w:highlight w:val="none"/>
                <w:lang w:val="en-US" w:eastAsia="zh-CN"/>
              </w:rPr>
              <w:t>车</w:t>
            </w:r>
            <w:r>
              <w:rPr>
                <w:rFonts w:hint="eastAsia" w:cs="宋体"/>
                <w:color w:val="auto"/>
                <w:sz w:val="24"/>
                <w:szCs w:val="24"/>
                <w:highlight w:val="none"/>
                <w:lang w:val="en-US" w:eastAsia="zh-CN"/>
              </w:rPr>
              <w:t>箱</w:t>
            </w:r>
            <w:r>
              <w:rPr>
                <w:color w:val="auto"/>
                <w:sz w:val="24"/>
                <w:szCs w:val="24"/>
                <w:highlight w:val="none"/>
              </w:rPr>
              <w:t>配设按照每站2车位1</w:t>
            </w:r>
            <w:r>
              <w:rPr>
                <w:rFonts w:hint="eastAsia" w:cs="宋体"/>
                <w:color w:val="auto"/>
                <w:sz w:val="24"/>
                <w:szCs w:val="24"/>
                <w:highlight w:val="none"/>
                <w:lang w:val="en-US" w:eastAsia="zh-CN"/>
              </w:rPr>
              <w:t>箱</w:t>
            </w:r>
            <w:r>
              <w:rPr>
                <w:color w:val="auto"/>
                <w:sz w:val="24"/>
                <w:szCs w:val="24"/>
                <w:highlight w:val="none"/>
              </w:rPr>
              <w:t>，3车位2</w:t>
            </w:r>
            <w:r>
              <w:rPr>
                <w:rFonts w:hint="eastAsia" w:cs="宋体"/>
                <w:color w:val="auto"/>
                <w:sz w:val="24"/>
                <w:szCs w:val="24"/>
                <w:highlight w:val="none"/>
                <w:lang w:val="en-US" w:eastAsia="zh-CN"/>
              </w:rPr>
              <w:t>箱</w:t>
            </w:r>
            <w:r>
              <w:rPr>
                <w:color w:val="auto"/>
                <w:sz w:val="24"/>
                <w:szCs w:val="24"/>
                <w:highlight w:val="none"/>
              </w:rPr>
              <w:t>，每辆车1</w:t>
            </w:r>
            <w:r>
              <w:rPr>
                <w:rFonts w:hint="eastAsia" w:cs="宋体"/>
                <w:color w:val="auto"/>
                <w:sz w:val="24"/>
                <w:szCs w:val="24"/>
                <w:highlight w:val="none"/>
                <w:lang w:val="en-US" w:eastAsia="zh-CN"/>
              </w:rPr>
              <w:t>箱</w:t>
            </w:r>
            <w:r>
              <w:rPr>
                <w:color w:val="auto"/>
                <w:sz w:val="24"/>
                <w:szCs w:val="24"/>
                <w:highlight w:val="none"/>
              </w:rPr>
              <w:t>比例配设，同时，并需满足垃圾分类运载车辆的要求。</w:t>
            </w:r>
          </w:p>
          <w:p w14:paraId="65C1688D">
            <w:pPr>
              <w:spacing w:line="360" w:lineRule="auto"/>
              <w:rPr>
                <w:rFonts w:hint="eastAsia" w:eastAsiaTheme="minorEastAsia"/>
                <w:color w:val="auto"/>
                <w:sz w:val="24"/>
                <w:szCs w:val="24"/>
                <w:highlight w:val="none"/>
                <w:lang w:eastAsia="zh-CN"/>
              </w:rPr>
            </w:pPr>
            <w:r>
              <w:rPr>
                <w:color w:val="auto"/>
                <w:sz w:val="24"/>
                <w:szCs w:val="24"/>
                <w:highlight w:val="none"/>
              </w:rPr>
              <w:t>25、</w:t>
            </w:r>
            <w:r>
              <w:rPr>
                <w:rFonts w:hint="eastAsia"/>
                <w:color w:val="auto"/>
                <w:sz w:val="24"/>
                <w:szCs w:val="24"/>
                <w:highlight w:val="none"/>
                <w:lang w:eastAsia="zh-CN"/>
              </w:rPr>
              <w:t>保洁工工具需配齐全，即需配齐软扫、竹扫、草扒、铁钳、铲等小宗工具。</w:t>
            </w:r>
          </w:p>
          <w:p w14:paraId="0B6D83D7">
            <w:pPr>
              <w:spacing w:line="360" w:lineRule="auto"/>
              <w:rPr>
                <w:color w:val="auto"/>
                <w:sz w:val="24"/>
                <w:szCs w:val="24"/>
                <w:highlight w:val="none"/>
              </w:rPr>
            </w:pPr>
            <w:r>
              <w:rPr>
                <w:color w:val="auto"/>
                <w:sz w:val="24"/>
                <w:szCs w:val="24"/>
                <w:highlight w:val="none"/>
              </w:rPr>
              <w:t>26、专人管理公厕，离开岗位不得超过50米范围。</w:t>
            </w:r>
          </w:p>
          <w:p w14:paraId="03C0AA92">
            <w:pPr>
              <w:spacing w:line="360" w:lineRule="auto"/>
              <w:rPr>
                <w:color w:val="auto"/>
                <w:sz w:val="24"/>
                <w:szCs w:val="24"/>
                <w:highlight w:val="none"/>
              </w:rPr>
            </w:pPr>
            <w:r>
              <w:rPr>
                <w:color w:val="auto"/>
                <w:sz w:val="24"/>
                <w:szCs w:val="24"/>
                <w:highlight w:val="none"/>
              </w:rPr>
              <w:t>27、压缩站应保持整洁，不乱堆乱放，每次作业需清洗干净，设施完好。</w:t>
            </w:r>
          </w:p>
          <w:p w14:paraId="24A405C2">
            <w:pPr>
              <w:spacing w:line="360" w:lineRule="auto"/>
              <w:rPr>
                <w:rFonts w:hint="eastAsia" w:eastAsiaTheme="minorEastAsia"/>
                <w:color w:val="auto"/>
                <w:sz w:val="24"/>
                <w:szCs w:val="24"/>
                <w:highlight w:val="none"/>
                <w:lang w:eastAsia="zh-CN"/>
              </w:rPr>
            </w:pPr>
            <w:r>
              <w:rPr>
                <w:color w:val="auto"/>
                <w:sz w:val="24"/>
                <w:szCs w:val="24"/>
                <w:highlight w:val="none"/>
              </w:rPr>
              <w:t>28、</w:t>
            </w:r>
            <w:r>
              <w:rPr>
                <w:rFonts w:hint="eastAsia"/>
                <w:color w:val="auto"/>
                <w:sz w:val="24"/>
                <w:szCs w:val="24"/>
                <w:highlight w:val="none"/>
                <w:lang w:eastAsia="zh-CN"/>
              </w:rPr>
              <w:t>中标人不得以任何方式向服务区域内任何单位、企业、个人、商户、收取环卫费用。</w:t>
            </w:r>
          </w:p>
          <w:p w14:paraId="69522C75">
            <w:pPr>
              <w:spacing w:line="360" w:lineRule="auto"/>
              <w:rPr>
                <w:color w:val="auto"/>
                <w:sz w:val="24"/>
                <w:szCs w:val="24"/>
                <w:highlight w:val="none"/>
              </w:rPr>
            </w:pPr>
            <w:r>
              <w:rPr>
                <w:color w:val="auto"/>
                <w:sz w:val="24"/>
                <w:szCs w:val="24"/>
                <w:highlight w:val="none"/>
              </w:rPr>
              <w:t>29、区域内家具、</w:t>
            </w:r>
            <w:r>
              <w:rPr>
                <w:rFonts w:hint="eastAsia"/>
                <w:color w:val="auto"/>
                <w:sz w:val="24"/>
                <w:szCs w:val="24"/>
                <w:highlight w:val="none"/>
                <w:lang w:val="en-US" w:eastAsia="zh-CN"/>
              </w:rPr>
              <w:t>少量</w:t>
            </w:r>
            <w:r>
              <w:rPr>
                <w:color w:val="auto"/>
                <w:sz w:val="24"/>
                <w:szCs w:val="24"/>
                <w:highlight w:val="none"/>
              </w:rPr>
              <w:t>建筑垃圾、工业无毒废料，必须及时清理干净。中标人不得以非生活垃圾为理由对</w:t>
            </w:r>
            <w:r>
              <w:rPr>
                <w:rFonts w:hint="eastAsia"/>
                <w:color w:val="auto"/>
                <w:sz w:val="24"/>
                <w:szCs w:val="24"/>
                <w:highlight w:val="none"/>
                <w:lang w:val="en-US" w:eastAsia="zh-CN"/>
              </w:rPr>
              <w:t>此</w:t>
            </w:r>
            <w:r>
              <w:rPr>
                <w:color w:val="auto"/>
                <w:sz w:val="24"/>
                <w:szCs w:val="24"/>
                <w:highlight w:val="none"/>
              </w:rPr>
              <w:t>拒收或收取额外费用。</w:t>
            </w:r>
          </w:p>
          <w:p w14:paraId="2BD6585A">
            <w:pPr>
              <w:spacing w:line="360" w:lineRule="auto"/>
              <w:rPr>
                <w:color w:val="auto"/>
                <w:sz w:val="24"/>
                <w:szCs w:val="24"/>
                <w:highlight w:val="none"/>
              </w:rPr>
            </w:pPr>
            <w:r>
              <w:rPr>
                <w:color w:val="auto"/>
                <w:sz w:val="24"/>
                <w:szCs w:val="24"/>
                <w:highlight w:val="none"/>
              </w:rPr>
              <w:t>30、服务区域交界处道路两侧路沿必须清扫干净。</w:t>
            </w:r>
          </w:p>
          <w:p w14:paraId="2BB38091">
            <w:pPr>
              <w:spacing w:line="360" w:lineRule="auto"/>
              <w:jc w:val="left"/>
              <w:rPr>
                <w:color w:val="auto"/>
                <w:sz w:val="24"/>
                <w:szCs w:val="24"/>
                <w:highlight w:val="none"/>
              </w:rPr>
            </w:pPr>
            <w:r>
              <w:rPr>
                <w:color w:val="auto"/>
                <w:sz w:val="24"/>
                <w:szCs w:val="24"/>
                <w:highlight w:val="none"/>
              </w:rPr>
              <w:t>31、应急事件处置：中标人在接到采购人通知时，必须在30分钟内到场进行处理。</w:t>
            </w:r>
          </w:p>
        </w:tc>
      </w:tr>
      <w:tr w14:paraId="5FC17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3AF17ED4">
            <w:pPr>
              <w:spacing w:line="360" w:lineRule="auto"/>
              <w:rPr>
                <w:color w:val="auto"/>
                <w:sz w:val="24"/>
                <w:szCs w:val="24"/>
                <w:highlight w:val="none"/>
              </w:rPr>
            </w:pPr>
          </w:p>
        </w:tc>
        <w:tc>
          <w:tcPr>
            <w:tcW w:w="630" w:type="dxa"/>
          </w:tcPr>
          <w:p w14:paraId="7C7F6D8E">
            <w:pPr>
              <w:spacing w:line="360" w:lineRule="auto"/>
              <w:rPr>
                <w:color w:val="auto"/>
                <w:sz w:val="24"/>
                <w:szCs w:val="24"/>
                <w:highlight w:val="none"/>
              </w:rPr>
            </w:pPr>
            <w:r>
              <w:rPr>
                <w:color w:val="auto"/>
                <w:sz w:val="24"/>
                <w:szCs w:val="24"/>
                <w:highlight w:val="none"/>
              </w:rPr>
              <w:t>3</w:t>
            </w:r>
          </w:p>
        </w:tc>
        <w:tc>
          <w:tcPr>
            <w:tcW w:w="8328" w:type="dxa"/>
          </w:tcPr>
          <w:p w14:paraId="3114B698">
            <w:pPr>
              <w:spacing w:line="360" w:lineRule="auto"/>
              <w:jc w:val="left"/>
              <w:rPr>
                <w:color w:val="auto"/>
                <w:sz w:val="24"/>
                <w:szCs w:val="24"/>
                <w:highlight w:val="none"/>
              </w:rPr>
            </w:pPr>
            <w:r>
              <w:rPr>
                <w:b/>
                <w:color w:val="auto"/>
                <w:sz w:val="24"/>
                <w:szCs w:val="24"/>
                <w:highlight w:val="none"/>
              </w:rPr>
              <w:t>作业内容：</w:t>
            </w:r>
            <w:r>
              <w:rPr>
                <w:b/>
                <w:bCs/>
                <w:color w:val="auto"/>
                <w:sz w:val="24"/>
                <w:szCs w:val="24"/>
                <w:highlight w:val="none"/>
              </w:rPr>
              <w:t>《</w:t>
            </w:r>
            <w:r>
              <w:rPr>
                <w:rFonts w:hint="eastAsia"/>
                <w:b/>
                <w:color w:val="auto"/>
                <w:sz w:val="24"/>
                <w:szCs w:val="24"/>
                <w:highlight w:val="none"/>
              </w:rPr>
              <w:t>普宁市市区环境卫生清扫保洁区区域一览表（东片区）</w:t>
            </w:r>
            <w:r>
              <w:rPr>
                <w:b/>
                <w:bCs/>
                <w:color w:val="auto"/>
                <w:sz w:val="24"/>
                <w:szCs w:val="24"/>
                <w:highlight w:val="none"/>
              </w:rPr>
              <w:t>》</w:t>
            </w:r>
            <w:r>
              <w:rPr>
                <w:rFonts w:hint="eastAsia"/>
                <w:b/>
                <w:bCs/>
                <w:color w:val="auto"/>
                <w:sz w:val="24"/>
                <w:szCs w:val="24"/>
                <w:highlight w:val="none"/>
                <w:lang w:eastAsia="zh-CN"/>
              </w:rPr>
              <w:t>《居民区面积（</w:t>
            </w:r>
            <w:r>
              <w:rPr>
                <w:rFonts w:hint="eastAsia"/>
                <w:b/>
                <w:bCs/>
                <w:color w:val="auto"/>
                <w:sz w:val="24"/>
                <w:szCs w:val="24"/>
                <w:highlight w:val="none"/>
                <w:lang w:val="en-US" w:eastAsia="zh-CN"/>
              </w:rPr>
              <w:t>东片区）》</w:t>
            </w:r>
            <w:r>
              <w:rPr>
                <w:b/>
                <w:bCs/>
                <w:color w:val="auto"/>
                <w:sz w:val="24"/>
                <w:szCs w:val="24"/>
                <w:highlight w:val="none"/>
              </w:rPr>
              <w:t>《</w:t>
            </w:r>
            <w:r>
              <w:rPr>
                <w:b/>
                <w:color w:val="auto"/>
                <w:sz w:val="24"/>
                <w:szCs w:val="24"/>
                <w:highlight w:val="none"/>
              </w:rPr>
              <w:t>公园广场（</w:t>
            </w:r>
            <w:r>
              <w:rPr>
                <w:rFonts w:hint="eastAsia"/>
                <w:b/>
                <w:color w:val="auto"/>
                <w:sz w:val="24"/>
                <w:szCs w:val="24"/>
                <w:highlight w:val="none"/>
                <w:lang w:val="en-US" w:eastAsia="zh-CN"/>
              </w:rPr>
              <w:t>东</w:t>
            </w:r>
            <w:r>
              <w:rPr>
                <w:b/>
                <w:color w:val="auto"/>
                <w:sz w:val="24"/>
                <w:szCs w:val="24"/>
                <w:highlight w:val="none"/>
              </w:rPr>
              <w:t>片区）》《普宁市区公厕明细表（</w:t>
            </w:r>
            <w:r>
              <w:rPr>
                <w:rFonts w:hint="eastAsia"/>
                <w:b/>
                <w:color w:val="auto"/>
                <w:sz w:val="24"/>
                <w:szCs w:val="24"/>
                <w:highlight w:val="none"/>
                <w:lang w:val="en-US" w:eastAsia="zh-CN"/>
              </w:rPr>
              <w:t>东</w:t>
            </w:r>
            <w:r>
              <w:rPr>
                <w:b/>
                <w:color w:val="auto"/>
                <w:sz w:val="24"/>
                <w:szCs w:val="24"/>
                <w:highlight w:val="none"/>
              </w:rPr>
              <w:t>片区）》见公告附件。</w:t>
            </w:r>
          </w:p>
          <w:p w14:paraId="6C6EBC21">
            <w:pPr>
              <w:spacing w:line="360" w:lineRule="auto"/>
              <w:jc w:val="left"/>
              <w:rPr>
                <w:b w:val="0"/>
                <w:bCs w:val="0"/>
                <w:color w:val="auto"/>
                <w:sz w:val="24"/>
                <w:szCs w:val="24"/>
                <w:highlight w:val="none"/>
              </w:rPr>
            </w:pPr>
            <w:r>
              <w:rPr>
                <w:color w:val="auto"/>
                <w:sz w:val="24"/>
                <w:szCs w:val="24"/>
                <w:highlight w:val="none"/>
              </w:rPr>
              <w:t>1、清扫保洁：按照</w:t>
            </w:r>
            <w:r>
              <w:rPr>
                <w:b w:val="0"/>
                <w:bCs w:val="0"/>
                <w:color w:val="auto"/>
                <w:sz w:val="24"/>
                <w:szCs w:val="24"/>
                <w:highlight w:val="none"/>
              </w:rPr>
              <w:t>《</w:t>
            </w:r>
            <w:r>
              <w:rPr>
                <w:rFonts w:hint="eastAsia"/>
                <w:b w:val="0"/>
                <w:bCs w:val="0"/>
                <w:color w:val="auto"/>
                <w:sz w:val="24"/>
                <w:szCs w:val="24"/>
                <w:highlight w:val="none"/>
              </w:rPr>
              <w:t>普宁市市区环境卫生清扫保洁区区域一览表（东片区）</w:t>
            </w:r>
            <w:r>
              <w:rPr>
                <w:b w:val="0"/>
                <w:bCs w:val="0"/>
                <w:color w:val="auto"/>
                <w:sz w:val="24"/>
                <w:szCs w:val="24"/>
                <w:highlight w:val="none"/>
              </w:rPr>
              <w:t>》</w:t>
            </w:r>
            <w:r>
              <w:rPr>
                <w:rFonts w:hint="eastAsia"/>
                <w:b w:val="0"/>
                <w:bCs w:val="0"/>
                <w:color w:val="auto"/>
                <w:sz w:val="24"/>
                <w:szCs w:val="24"/>
                <w:highlight w:val="none"/>
                <w:lang w:eastAsia="zh-CN"/>
              </w:rPr>
              <w:t>《居民区面积（</w:t>
            </w:r>
            <w:r>
              <w:rPr>
                <w:rFonts w:hint="eastAsia"/>
                <w:b w:val="0"/>
                <w:bCs w:val="0"/>
                <w:color w:val="auto"/>
                <w:sz w:val="24"/>
                <w:szCs w:val="24"/>
                <w:highlight w:val="none"/>
                <w:lang w:val="en-US" w:eastAsia="zh-CN"/>
              </w:rPr>
              <w:t>东片区）》</w:t>
            </w:r>
            <w:r>
              <w:rPr>
                <w:b w:val="0"/>
                <w:bCs w:val="0"/>
                <w:color w:val="auto"/>
                <w:sz w:val="24"/>
                <w:szCs w:val="24"/>
                <w:highlight w:val="none"/>
              </w:rPr>
              <w:t>标准执行。</w:t>
            </w:r>
          </w:p>
          <w:p w14:paraId="6735D326">
            <w:pPr>
              <w:spacing w:line="360" w:lineRule="auto"/>
              <w:rPr>
                <w:color w:val="auto"/>
                <w:sz w:val="24"/>
                <w:szCs w:val="24"/>
                <w:highlight w:val="none"/>
              </w:rPr>
            </w:pPr>
            <w:r>
              <w:rPr>
                <w:color w:val="auto"/>
                <w:sz w:val="24"/>
                <w:szCs w:val="24"/>
                <w:highlight w:val="none"/>
              </w:rPr>
              <w:t>2、按照《城市环境卫生质量标准》，对各专业市场实施清扫保洁和垃圾清运。</w:t>
            </w:r>
          </w:p>
          <w:p w14:paraId="0C7F50C6">
            <w:pPr>
              <w:spacing w:line="360" w:lineRule="auto"/>
              <w:rPr>
                <w:color w:val="auto"/>
                <w:sz w:val="24"/>
                <w:szCs w:val="24"/>
                <w:highlight w:val="none"/>
              </w:rPr>
            </w:pPr>
            <w:r>
              <w:rPr>
                <w:color w:val="auto"/>
                <w:sz w:val="24"/>
                <w:szCs w:val="24"/>
                <w:highlight w:val="none"/>
              </w:rPr>
              <w:t>3、公园广场保洁：按照《公园广场（东片区）》质量要求标准做好保洁工作。</w:t>
            </w:r>
          </w:p>
          <w:p w14:paraId="2E342CB9">
            <w:pPr>
              <w:spacing w:line="360" w:lineRule="auto"/>
              <w:jc w:val="left"/>
              <w:rPr>
                <w:color w:val="auto"/>
                <w:sz w:val="24"/>
                <w:szCs w:val="24"/>
                <w:highlight w:val="none"/>
              </w:rPr>
            </w:pPr>
            <w:r>
              <w:rPr>
                <w:color w:val="auto"/>
                <w:sz w:val="24"/>
                <w:szCs w:val="24"/>
                <w:highlight w:val="none"/>
              </w:rPr>
              <w:t>4、公厕保洁：中标人负责《普宁市区公厕明细表（东片区）》的保洁工作。</w:t>
            </w:r>
          </w:p>
        </w:tc>
      </w:tr>
      <w:tr w14:paraId="72E37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4B88A4F1">
            <w:pPr>
              <w:spacing w:line="360" w:lineRule="auto"/>
              <w:rPr>
                <w:color w:val="auto"/>
                <w:sz w:val="24"/>
                <w:szCs w:val="24"/>
                <w:highlight w:val="none"/>
              </w:rPr>
            </w:pPr>
          </w:p>
        </w:tc>
        <w:tc>
          <w:tcPr>
            <w:tcW w:w="630" w:type="dxa"/>
          </w:tcPr>
          <w:p w14:paraId="66DE5048">
            <w:pPr>
              <w:spacing w:line="360" w:lineRule="auto"/>
              <w:rPr>
                <w:color w:val="auto"/>
                <w:sz w:val="24"/>
                <w:szCs w:val="24"/>
                <w:highlight w:val="none"/>
              </w:rPr>
            </w:pPr>
            <w:r>
              <w:rPr>
                <w:color w:val="auto"/>
                <w:sz w:val="24"/>
                <w:szCs w:val="24"/>
                <w:highlight w:val="none"/>
              </w:rPr>
              <w:t>4</w:t>
            </w:r>
          </w:p>
        </w:tc>
        <w:tc>
          <w:tcPr>
            <w:tcW w:w="8328" w:type="dxa"/>
          </w:tcPr>
          <w:p w14:paraId="0AF4FE51">
            <w:pPr>
              <w:spacing w:line="360" w:lineRule="auto"/>
              <w:jc w:val="left"/>
              <w:rPr>
                <w:color w:val="auto"/>
                <w:sz w:val="24"/>
                <w:szCs w:val="24"/>
                <w:highlight w:val="none"/>
              </w:rPr>
            </w:pPr>
            <w:r>
              <w:rPr>
                <w:b/>
                <w:color w:val="auto"/>
                <w:sz w:val="24"/>
                <w:szCs w:val="24"/>
                <w:highlight w:val="none"/>
              </w:rPr>
              <w:t>压缩站管理《普宁市区压缩台受纳垃圾量及运距明细表（东片区）》见公告附件</w:t>
            </w:r>
          </w:p>
          <w:p w14:paraId="427ECE9C">
            <w:pPr>
              <w:spacing w:line="360" w:lineRule="auto"/>
              <w:rPr>
                <w:color w:val="auto"/>
                <w:sz w:val="24"/>
                <w:szCs w:val="24"/>
                <w:highlight w:val="none"/>
              </w:rPr>
            </w:pPr>
            <w:r>
              <w:rPr>
                <w:color w:val="auto"/>
                <w:sz w:val="24"/>
                <w:szCs w:val="24"/>
                <w:highlight w:val="none"/>
              </w:rPr>
              <w:t>东片区</w:t>
            </w:r>
            <w:r>
              <w:rPr>
                <w:rFonts w:hint="eastAsia"/>
                <w:color w:val="auto"/>
                <w:sz w:val="24"/>
                <w:szCs w:val="24"/>
                <w:highlight w:val="none"/>
                <w:lang w:val="en-US" w:eastAsia="zh-CN"/>
              </w:rPr>
              <w:t>21</w:t>
            </w:r>
            <w:r>
              <w:rPr>
                <w:color w:val="auto"/>
                <w:sz w:val="24"/>
                <w:szCs w:val="24"/>
                <w:highlight w:val="none"/>
              </w:rPr>
              <w:t>个垃圾压缩站，原来由普宁市市容环境卫生管理中心管理的垃圾压缩站，中标人接管项目后，由中标人负责运营管理；其他垃圾压缩站依然归属村管理，但设备维修维护、垃圾运载由中标人负责。中标后在合同确定服务范围内，若新增垃圾压缩站按照建成后由中标人管理，不再另行计费。今后有新增压缩台、土地、土建、水电配套的，由普宁市市容环境卫生管理中心或所在街道、村负责，设备配套由中标人投入及更新。中标人应及时对压缩站进行维护维修（排水系统至市政排污接入口止）。因中标人生产需对压缩站进行更新改造，其费用由中标人负责。</w:t>
            </w:r>
          </w:p>
        </w:tc>
      </w:tr>
      <w:tr w14:paraId="7E4A8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4697703D">
            <w:pPr>
              <w:spacing w:line="360" w:lineRule="auto"/>
              <w:rPr>
                <w:color w:val="auto"/>
                <w:sz w:val="24"/>
                <w:szCs w:val="24"/>
                <w:highlight w:val="none"/>
              </w:rPr>
            </w:pPr>
          </w:p>
        </w:tc>
        <w:tc>
          <w:tcPr>
            <w:tcW w:w="630" w:type="dxa"/>
          </w:tcPr>
          <w:p w14:paraId="632A1FCD">
            <w:pPr>
              <w:spacing w:line="360" w:lineRule="auto"/>
              <w:rPr>
                <w:color w:val="auto"/>
                <w:sz w:val="24"/>
                <w:szCs w:val="24"/>
                <w:highlight w:val="none"/>
              </w:rPr>
            </w:pPr>
            <w:r>
              <w:rPr>
                <w:color w:val="auto"/>
                <w:sz w:val="24"/>
                <w:szCs w:val="24"/>
                <w:highlight w:val="none"/>
              </w:rPr>
              <w:t>5</w:t>
            </w:r>
          </w:p>
        </w:tc>
        <w:tc>
          <w:tcPr>
            <w:tcW w:w="8328" w:type="dxa"/>
          </w:tcPr>
          <w:p w14:paraId="3066F85B">
            <w:pPr>
              <w:spacing w:line="360" w:lineRule="auto"/>
              <w:rPr>
                <w:color w:val="auto"/>
                <w:sz w:val="24"/>
                <w:szCs w:val="24"/>
                <w:highlight w:val="none"/>
              </w:rPr>
            </w:pPr>
            <w:r>
              <w:rPr>
                <w:b/>
                <w:color w:val="auto"/>
                <w:sz w:val="24"/>
                <w:szCs w:val="24"/>
                <w:highlight w:val="none"/>
              </w:rPr>
              <w:t>保洁</w:t>
            </w:r>
            <w:r>
              <w:rPr>
                <w:rFonts w:hint="eastAsia"/>
                <w:b/>
                <w:color w:val="auto"/>
                <w:sz w:val="24"/>
                <w:szCs w:val="24"/>
                <w:highlight w:val="none"/>
                <w:lang w:val="en-US" w:eastAsia="zh-CN"/>
              </w:rPr>
              <w:t>质量</w:t>
            </w:r>
            <w:r>
              <w:rPr>
                <w:b/>
                <w:color w:val="auto"/>
                <w:sz w:val="24"/>
                <w:szCs w:val="24"/>
                <w:highlight w:val="none"/>
              </w:rPr>
              <w:t>要求</w:t>
            </w:r>
            <w:r>
              <w:rPr>
                <w:color w:val="auto"/>
                <w:sz w:val="24"/>
                <w:szCs w:val="24"/>
                <w:highlight w:val="none"/>
              </w:rPr>
              <w:br w:type="textWrapping"/>
            </w: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一级道路保洁质量要求：</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1.1 对人流量大的繁华路段，应全天巡回保洁，路面应见本色。</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1.2 路面冲洗</w:t>
            </w:r>
            <w:r>
              <w:rPr>
                <w:rFonts w:hint="eastAsia"/>
                <w:color w:val="auto"/>
                <w:sz w:val="24"/>
                <w:szCs w:val="24"/>
                <w:highlight w:val="none"/>
                <w:lang w:val="en-US" w:eastAsia="zh-CN"/>
              </w:rPr>
              <w:t>每</w:t>
            </w:r>
            <w:r>
              <w:rPr>
                <w:color w:val="auto"/>
                <w:sz w:val="24"/>
                <w:szCs w:val="24"/>
                <w:highlight w:val="none"/>
              </w:rPr>
              <w:t>日2洗。</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1.3 气温30℃以上时，路面冲洗日增加不少于一次。</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1.4作业质量标准：</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①做到无废弃物、无果皮纸屑、无塑料袋、无积泥、无污水及灰带等杂物。</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②要做到路面畅通无堆积物，无垃圾乱倒，道路两侧无杂草，无污泥浊水，街巷路面干净。</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③确保清扫保洁垃圾及时清运，做到日产日清。</w:t>
            </w:r>
            <w:r>
              <w:rPr>
                <w:color w:val="auto"/>
                <w:sz w:val="24"/>
                <w:szCs w:val="24"/>
                <w:highlight w:val="none"/>
              </w:rPr>
              <w:br w:type="textWrapping"/>
            </w: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二级道路保洁质量要求：</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2.1 主要路段应巡回保洁，路面基本见本色。</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2.2 路面冲洗按两天一洗、三天一洗。</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2.3 气温30℃以上时，每天洒水应不少于1次。</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2.4作业质量标准：</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①做到无废弃物、无果皮纸屑、无塑料袋、无积泥、无污水及灰带等杂物。</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②要做到路面畅通无堆积物，无垃圾乱倒，道路两侧无杂草，无污泥浊水，街巷路面干净。</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③确保清扫保洁垃圾及时清运，做到日产日清。</w:t>
            </w:r>
            <w:r>
              <w:rPr>
                <w:color w:val="auto"/>
                <w:sz w:val="24"/>
                <w:szCs w:val="24"/>
                <w:highlight w:val="none"/>
              </w:rPr>
              <w:br w:type="textWrapping"/>
            </w: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三级道路保洁质量要求：</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3.1 应定时保洁，按三天一洗、七天一洗。</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3.2 气温30℃以上时，每天洒水应不少于1次。</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3.3作业质量标准：</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①做到无废弃物、无果皮纸屑、无塑料袋、无积泥、无污水及灰带等杂物。</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②要做到路面畅通无堆积物，无垃圾乱倒，道路两侧无杂草，无污泥浊水，街巷路面干净。</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③确保清扫保洁垃圾及时清运，做到日产日清。</w:t>
            </w:r>
            <w:r>
              <w:rPr>
                <w:color w:val="auto"/>
                <w:sz w:val="24"/>
                <w:szCs w:val="24"/>
                <w:highlight w:val="none"/>
              </w:rPr>
              <w:br w:type="textWrapping"/>
            </w: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四级道路保洁质量要求：</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4.1 每天应清扫1～2次。</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4.2 部分路段应实行定时保洁。</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4.3 桥面的保洁质量应与所连接的道路保洁质量标准相同。桥栏杆应整洁，无乱贴、乱画。</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4.4 人行天桥桥面保洁质量应与一级道路保洁质量标准相同。阶梯、扶手、栏杆应干净。</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4.5 车行隧道的路面应干净，无积存污水和垃圾；隧道两壁应无明显污物；隧道进出口保洁质量应与所连接路段保洁质量标准相同。</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4.6作业质量标准：</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①做到无废弃物、无果皮纸屑、无塑料袋、无积泥、无污水及灰带等杂物。</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②要做到路面畅通无堆积物，无垃圾乱倒，道路两侧无杂草，无污泥浊水，街巷路面干净。</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③确保清扫保洁垃圾及时清运，做到日产日清。</w:t>
            </w:r>
            <w:r>
              <w:rPr>
                <w:color w:val="auto"/>
                <w:sz w:val="24"/>
                <w:szCs w:val="24"/>
                <w:highlight w:val="none"/>
              </w:rPr>
              <w:br w:type="textWrapping"/>
            </w: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绿地和绿化带、树穴保洁：</w:t>
            </w:r>
            <w:r>
              <w:rPr>
                <w:color w:val="auto"/>
                <w:sz w:val="24"/>
                <w:szCs w:val="24"/>
                <w:highlight w:val="none"/>
              </w:rPr>
              <w:br w:type="textWrapping"/>
            </w:r>
            <w:r>
              <w:rPr>
                <w:color w:val="auto"/>
                <w:sz w:val="24"/>
                <w:szCs w:val="24"/>
                <w:highlight w:val="none"/>
              </w:rPr>
              <w:t>绿地和绿化带、树穴内垃圾杂物应及时清理，保持绿地和绿化带、树穴干净，无垃圾杂物。保洁时间按所属地段道路保洁，级别要求相同时间保洁。</w:t>
            </w:r>
            <w:r>
              <w:rPr>
                <w:color w:val="auto"/>
                <w:sz w:val="24"/>
                <w:szCs w:val="24"/>
                <w:highlight w:val="none"/>
              </w:rPr>
              <w:br w:type="textWrapping"/>
            </w: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护栏保洁标准：护栏清洗保洁要干净、整齐，见本底色。</w:t>
            </w:r>
            <w:r>
              <w:rPr>
                <w:color w:val="auto"/>
                <w:sz w:val="24"/>
                <w:szCs w:val="24"/>
                <w:highlight w:val="none"/>
              </w:rPr>
              <w:br w:type="textWrapping"/>
            </w: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公厕保洁标准：公厕的日常保洁管理要达到“六无、四净”标准，厕内及周围环境卫生做到“六无”（即：无痰涕纸屑、无屎尿溢塞、无积尘蛛网、无污泥积水、无蝇蛆、无明显臭味）、“四净”（即：地面、蹲位、挡墙净；粪槽、尿槽、池斗净；门窗设备净；周围环境净）。除“四害”要达到国家卫生城市标准。</w:t>
            </w:r>
            <w:r>
              <w:rPr>
                <w:color w:val="auto"/>
                <w:sz w:val="24"/>
                <w:szCs w:val="24"/>
                <w:highlight w:val="none"/>
              </w:rPr>
              <w:br w:type="textWrapping"/>
            </w:r>
            <w:r>
              <w:rPr>
                <w:color w:val="auto"/>
                <w:sz w:val="24"/>
                <w:szCs w:val="24"/>
                <w:highlight w:val="none"/>
              </w:rPr>
              <w:t>8</w:t>
            </w:r>
            <w:r>
              <w:rPr>
                <w:rFonts w:hint="eastAsia"/>
                <w:color w:val="auto"/>
                <w:sz w:val="24"/>
                <w:szCs w:val="24"/>
                <w:highlight w:val="none"/>
                <w:lang w:eastAsia="zh-CN"/>
              </w:rPr>
              <w:t>、</w:t>
            </w:r>
            <w:r>
              <w:rPr>
                <w:color w:val="auto"/>
                <w:sz w:val="24"/>
                <w:szCs w:val="24"/>
                <w:highlight w:val="none"/>
              </w:rPr>
              <w:t>垃圾中转站的日常运转维护和管理要求及质量标准：</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8.1日常运转维护和管理要求：</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①垃圾中转站每天开放时间从4:00－24:00时。</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②科学管理，认真操作，按照设备的使用及保养管理规定操作保养，确保安全生产无事故。</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③不准在站内、周边</w:t>
            </w:r>
            <w:r>
              <w:rPr>
                <w:rFonts w:hint="eastAsia"/>
                <w:color w:val="auto"/>
                <w:sz w:val="24"/>
                <w:szCs w:val="24"/>
                <w:highlight w:val="none"/>
                <w:lang w:val="en-US" w:eastAsia="zh-CN"/>
              </w:rPr>
              <w:t>分</w:t>
            </w:r>
            <w:r>
              <w:rPr>
                <w:color w:val="auto"/>
                <w:sz w:val="24"/>
                <w:szCs w:val="24"/>
                <w:highlight w:val="none"/>
              </w:rPr>
              <w:t>捡废物或乱堆放杂物。</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④搞好站内卫生工作，站内随脏即保洁，每班次完工后，将地面清洗干净、拖干。</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⑤每天大洗一次，定期消毒、除“四害”、除臭、降尘。</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⑥每天清理一次中转站周边环境卫生、除杂草、清理乱张贴乱涂写等广告和站外墙面灰尘等。</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⑦配足够车辆车</w:t>
            </w:r>
            <w:r>
              <w:rPr>
                <w:rFonts w:hint="eastAsia" w:cs="宋体"/>
                <w:color w:val="auto"/>
                <w:sz w:val="24"/>
                <w:szCs w:val="24"/>
                <w:highlight w:val="none"/>
                <w:lang w:eastAsia="zh-CN"/>
              </w:rPr>
              <w:t>箱</w:t>
            </w:r>
            <w:r>
              <w:rPr>
                <w:color w:val="auto"/>
                <w:sz w:val="24"/>
                <w:szCs w:val="24"/>
                <w:highlight w:val="none"/>
              </w:rPr>
              <w:t>保证转运及时，工人等待倾倒垃圾时间不得超过30分钟。</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⑧工作完毕后，及时认真做好每日的工作记录。</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8.2作业质量标准：</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①做到“四净”，即：环境净、设备净、墙壁净、地面净。</w:t>
            </w:r>
            <w:r>
              <w:rPr>
                <w:color w:val="auto"/>
                <w:sz w:val="24"/>
                <w:szCs w:val="24"/>
                <w:highlight w:val="none"/>
              </w:rPr>
              <w:br w:type="textWrapping"/>
            </w:r>
            <w:r>
              <w:rPr>
                <w:rFonts w:hint="eastAsia"/>
                <w:color w:val="auto"/>
                <w:sz w:val="24"/>
                <w:szCs w:val="24"/>
                <w:highlight w:val="none"/>
                <w:lang w:val="en-US" w:eastAsia="zh-CN"/>
              </w:rPr>
              <w:t xml:space="preserve">  </w:t>
            </w:r>
            <w:r>
              <w:rPr>
                <w:color w:val="auto"/>
                <w:sz w:val="24"/>
                <w:szCs w:val="24"/>
                <w:highlight w:val="none"/>
              </w:rPr>
              <w:t>②消毒、除“四害”、除臭工作效果达到国家卫生城市标准，可视范围苍蝇不得超过3只，无鼠迹。</w:t>
            </w:r>
          </w:p>
          <w:p w14:paraId="4BC1CFC7">
            <w:pPr>
              <w:spacing w:line="360" w:lineRule="auto"/>
              <w:ind w:left="420" w:hanging="480" w:hangingChars="200"/>
              <w:rPr>
                <w:color w:val="auto"/>
                <w:sz w:val="24"/>
                <w:szCs w:val="24"/>
                <w:highlight w:val="none"/>
              </w:rPr>
            </w:pPr>
            <w:r>
              <w:rPr>
                <w:color w:val="auto"/>
                <w:sz w:val="24"/>
                <w:szCs w:val="24"/>
                <w:highlight w:val="none"/>
              </w:rPr>
              <w:t>9</w:t>
            </w:r>
            <w:r>
              <w:rPr>
                <w:rFonts w:hint="eastAsia"/>
                <w:color w:val="auto"/>
                <w:sz w:val="24"/>
                <w:szCs w:val="24"/>
                <w:highlight w:val="none"/>
                <w:lang w:eastAsia="zh-CN"/>
              </w:rPr>
              <w:t>、</w:t>
            </w:r>
            <w:r>
              <w:rPr>
                <w:color w:val="auto"/>
                <w:sz w:val="24"/>
                <w:szCs w:val="24"/>
                <w:highlight w:val="none"/>
              </w:rPr>
              <w:t>果皮箱、垃圾桶作业质量标准：</w:t>
            </w:r>
          </w:p>
          <w:p w14:paraId="2A0227E4">
            <w:pPr>
              <w:spacing w:line="360" w:lineRule="auto"/>
              <w:ind w:firstLine="240" w:firstLineChars="100"/>
              <w:rPr>
                <w:color w:val="auto"/>
                <w:sz w:val="24"/>
                <w:szCs w:val="24"/>
                <w:highlight w:val="none"/>
              </w:rPr>
            </w:pPr>
            <w:r>
              <w:rPr>
                <w:rFonts w:hint="eastAsia"/>
                <w:color w:val="auto"/>
                <w:sz w:val="24"/>
                <w:szCs w:val="24"/>
                <w:highlight w:val="none"/>
                <w:lang w:val="en-US" w:eastAsia="zh-CN"/>
              </w:rPr>
              <w:t>9.1</w:t>
            </w:r>
            <w:r>
              <w:rPr>
                <w:color w:val="auto"/>
                <w:sz w:val="24"/>
                <w:szCs w:val="24"/>
                <w:highlight w:val="none"/>
              </w:rPr>
              <w:t>果皮箱（废物箱）、垃圾箱：日常清理清洗保洁每天至少1次，每周对果皮箱（废物箱）、垃圾箱全面大清洗2-3次，清洗范围包括箱体内外、内胆（桶）及地面的污渍和乱涂乱写乱张贴等，达到内外干净整洁，外表无积泥积污、现本色，投递口整洁，周边地面无陈旧油污、无异味的标准。</w:t>
            </w:r>
            <w:r>
              <w:rPr>
                <w:color w:val="auto"/>
                <w:sz w:val="24"/>
                <w:szCs w:val="24"/>
                <w:highlight w:val="none"/>
              </w:rPr>
              <w:br w:type="textWrapping"/>
            </w:r>
            <w:r>
              <w:rPr>
                <w:rFonts w:hint="eastAsia"/>
                <w:color w:val="auto"/>
                <w:sz w:val="24"/>
                <w:szCs w:val="24"/>
                <w:highlight w:val="none"/>
                <w:lang w:val="en-US" w:eastAsia="zh-CN"/>
              </w:rPr>
              <w:t xml:space="preserve">  9.2</w:t>
            </w:r>
            <w:r>
              <w:rPr>
                <w:color w:val="auto"/>
                <w:sz w:val="24"/>
                <w:szCs w:val="24"/>
                <w:highlight w:val="none"/>
              </w:rPr>
              <w:t>垃圾桶（箱）：每天至少清理保洁1次，原则上使用平板车（钩臂车）收集到中转站倾倒垃圾后，即要全面冲洗干净（内外）才能摆回。每周对摆放的地面全面清冲洗至少2-3次，确保地面无污迹、无异味。</w:t>
            </w:r>
            <w:r>
              <w:rPr>
                <w:color w:val="auto"/>
                <w:sz w:val="24"/>
                <w:szCs w:val="24"/>
                <w:highlight w:val="none"/>
              </w:rPr>
              <w:br w:type="textWrapping"/>
            </w:r>
            <w:r>
              <w:rPr>
                <w:rFonts w:hint="eastAsia"/>
                <w:color w:val="auto"/>
                <w:sz w:val="24"/>
                <w:szCs w:val="24"/>
                <w:highlight w:val="none"/>
                <w:lang w:val="en-US" w:eastAsia="zh-CN"/>
              </w:rPr>
              <w:t xml:space="preserve">  9.3</w:t>
            </w:r>
            <w:r>
              <w:rPr>
                <w:color w:val="auto"/>
                <w:sz w:val="24"/>
                <w:szCs w:val="24"/>
                <w:highlight w:val="none"/>
              </w:rPr>
              <w:t>果皮箱（废物箱）、垃圾箱、垃圾桶需要更新的质量不能低于移交时的质量。</w:t>
            </w:r>
            <w:r>
              <w:rPr>
                <w:color w:val="auto"/>
                <w:sz w:val="24"/>
                <w:szCs w:val="24"/>
                <w:highlight w:val="none"/>
              </w:rPr>
              <w:br w:type="textWrapping"/>
            </w:r>
            <w:r>
              <w:rPr>
                <w:rFonts w:hint="eastAsia"/>
                <w:color w:val="auto"/>
                <w:sz w:val="24"/>
                <w:szCs w:val="24"/>
                <w:highlight w:val="none"/>
                <w:lang w:val="en-US" w:eastAsia="zh-CN"/>
              </w:rPr>
              <w:t xml:space="preserve">  9.4</w:t>
            </w:r>
            <w:r>
              <w:rPr>
                <w:color w:val="auto"/>
                <w:sz w:val="24"/>
                <w:szCs w:val="24"/>
                <w:highlight w:val="none"/>
              </w:rPr>
              <w:t>垃圾收集容器的设置要符合《环境卫生设施设置标准》。</w:t>
            </w:r>
            <w:r>
              <w:rPr>
                <w:color w:val="auto"/>
                <w:sz w:val="24"/>
                <w:szCs w:val="24"/>
                <w:highlight w:val="none"/>
              </w:rPr>
              <w:br w:type="textWrapping"/>
            </w:r>
            <w:r>
              <w:rPr>
                <w:rFonts w:hint="eastAsia"/>
                <w:color w:val="auto"/>
                <w:sz w:val="24"/>
                <w:szCs w:val="24"/>
                <w:highlight w:val="none"/>
                <w:lang w:val="en-US" w:eastAsia="zh-CN"/>
              </w:rPr>
              <w:t xml:space="preserve">  9.5</w:t>
            </w:r>
            <w:r>
              <w:rPr>
                <w:color w:val="auto"/>
                <w:sz w:val="24"/>
                <w:szCs w:val="24"/>
                <w:highlight w:val="none"/>
              </w:rPr>
              <w:t>除“四害”要达到国家卫生城市标准。</w:t>
            </w:r>
          </w:p>
        </w:tc>
      </w:tr>
      <w:tr w14:paraId="6F43B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0BAFBDC4">
            <w:pPr>
              <w:spacing w:line="360" w:lineRule="auto"/>
              <w:rPr>
                <w:color w:val="auto"/>
                <w:sz w:val="24"/>
                <w:szCs w:val="24"/>
                <w:highlight w:val="none"/>
              </w:rPr>
            </w:pPr>
          </w:p>
        </w:tc>
        <w:tc>
          <w:tcPr>
            <w:tcW w:w="630" w:type="dxa"/>
          </w:tcPr>
          <w:p w14:paraId="5AAB367E">
            <w:pPr>
              <w:spacing w:line="360" w:lineRule="auto"/>
              <w:rPr>
                <w:color w:val="auto"/>
                <w:sz w:val="24"/>
                <w:szCs w:val="24"/>
                <w:highlight w:val="none"/>
              </w:rPr>
            </w:pPr>
            <w:r>
              <w:rPr>
                <w:color w:val="auto"/>
                <w:sz w:val="24"/>
                <w:szCs w:val="24"/>
                <w:highlight w:val="none"/>
              </w:rPr>
              <w:t>6</w:t>
            </w:r>
          </w:p>
        </w:tc>
        <w:tc>
          <w:tcPr>
            <w:tcW w:w="8328" w:type="dxa"/>
          </w:tcPr>
          <w:p w14:paraId="78F185DE">
            <w:pPr>
              <w:spacing w:line="360" w:lineRule="auto"/>
              <w:rPr>
                <w:b/>
                <w:bCs/>
                <w:color w:val="auto"/>
                <w:sz w:val="24"/>
                <w:szCs w:val="24"/>
                <w:highlight w:val="none"/>
              </w:rPr>
            </w:pPr>
            <w:r>
              <w:rPr>
                <w:b/>
                <w:bCs/>
                <w:color w:val="auto"/>
                <w:sz w:val="24"/>
                <w:szCs w:val="24"/>
                <w:highlight w:val="none"/>
              </w:rPr>
              <w:t>人员要求</w:t>
            </w:r>
          </w:p>
          <w:p w14:paraId="5AAB43FA">
            <w:pPr>
              <w:numPr>
                <w:ilvl w:val="0"/>
                <w:numId w:val="0"/>
              </w:numPr>
              <w:spacing w:line="360" w:lineRule="auto"/>
              <w:rPr>
                <w:rFonts w:hint="eastAsia" w:eastAsiaTheme="minorEastAsia"/>
                <w:color w:val="auto"/>
                <w:sz w:val="24"/>
                <w:szCs w:val="24"/>
                <w:highlight w:val="none"/>
                <w:lang w:eastAsia="zh-CN"/>
              </w:rPr>
            </w:pPr>
            <w:r>
              <w:rPr>
                <w:rFonts w:hint="eastAsia"/>
                <w:color w:val="auto"/>
                <w:sz w:val="24"/>
                <w:szCs w:val="24"/>
                <w:highlight w:val="none"/>
                <w:lang w:val="en-US" w:eastAsia="zh-CN"/>
              </w:rPr>
              <w:t>1、</w:t>
            </w:r>
            <w:r>
              <w:rPr>
                <w:color w:val="auto"/>
                <w:sz w:val="24"/>
                <w:szCs w:val="24"/>
                <w:highlight w:val="none"/>
              </w:rPr>
              <w:t>中标人应优先聘用原有的环卫工人</w:t>
            </w:r>
            <w:r>
              <w:rPr>
                <w:rFonts w:hint="eastAsia"/>
                <w:color w:val="auto"/>
                <w:sz w:val="24"/>
                <w:szCs w:val="24"/>
                <w:highlight w:val="none"/>
                <w:lang w:eastAsia="zh-CN"/>
              </w:rPr>
              <w:t>。</w:t>
            </w:r>
            <w:r>
              <w:rPr>
                <w:color w:val="auto"/>
                <w:sz w:val="24"/>
                <w:szCs w:val="24"/>
                <w:highlight w:val="none"/>
              </w:rPr>
              <w:t>在合同履行时，必须全部接受上一中标公司的环卫工人，一个月内不得以非正常理由辞退原有环卫工人（除因工作失职、屡教不改等表现不好或因本人要求辞职以及违反政策法规等原因之外），第二个月后方可决定工人留用或解聘</w:t>
            </w:r>
            <w:r>
              <w:rPr>
                <w:rFonts w:hint="eastAsia"/>
                <w:color w:val="auto"/>
                <w:sz w:val="24"/>
                <w:szCs w:val="24"/>
                <w:highlight w:val="none"/>
                <w:lang w:eastAsia="zh-CN"/>
              </w:rPr>
              <w:t>。</w:t>
            </w:r>
            <w:r>
              <w:rPr>
                <w:color w:val="auto"/>
                <w:sz w:val="24"/>
                <w:szCs w:val="24"/>
                <w:highlight w:val="none"/>
              </w:rPr>
              <w:t>必须依照我国《</w:t>
            </w:r>
            <w:r>
              <w:rPr>
                <w:rFonts w:hint="eastAsia"/>
                <w:color w:val="auto"/>
                <w:sz w:val="24"/>
                <w:szCs w:val="24"/>
                <w:highlight w:val="none"/>
                <w:lang w:eastAsia="zh-CN"/>
              </w:rPr>
              <w:t>中华人民共和国劳动合同法</w:t>
            </w:r>
            <w:r>
              <w:rPr>
                <w:color w:val="auto"/>
                <w:sz w:val="24"/>
                <w:szCs w:val="24"/>
                <w:highlight w:val="none"/>
              </w:rPr>
              <w:t>》的有关规定与环卫工人签订劳动合同，支付不低于揭阳市最低工资标准130%的工人工资，并按规定发放环卫津贴、高温津贴、加班费等，依法缴纳社会保险（养老、失业、工伤、生育、医疗）。如遇到政策性规定的最低工资、环卫津贴、高温津贴等提高，由中标人负责。</w:t>
            </w:r>
            <w:r>
              <w:rPr>
                <w:color w:val="auto"/>
                <w:sz w:val="24"/>
                <w:szCs w:val="24"/>
                <w:highlight w:val="none"/>
              </w:rPr>
              <w:br w:type="textWrapping"/>
            </w:r>
            <w:r>
              <w:rPr>
                <w:rFonts w:hint="eastAsia"/>
                <w:color w:val="auto"/>
                <w:sz w:val="24"/>
                <w:szCs w:val="24"/>
                <w:highlight w:val="none"/>
                <w:lang w:val="en-US" w:eastAsia="zh-CN"/>
              </w:rPr>
              <w:t>2、</w:t>
            </w:r>
            <w:r>
              <w:rPr>
                <w:rFonts w:hint="eastAsia"/>
                <w:color w:val="auto"/>
                <w:sz w:val="24"/>
                <w:szCs w:val="24"/>
                <w:highlight w:val="none"/>
                <w:lang w:eastAsia="zh-CN"/>
              </w:rPr>
              <w:t>人工作业应合理布工，人工清扫、保洁作业，</w:t>
            </w:r>
            <w:r>
              <w:rPr>
                <w:rFonts w:hint="eastAsia"/>
                <w:color w:val="auto"/>
                <w:sz w:val="24"/>
                <w:szCs w:val="24"/>
                <w:highlight w:val="none"/>
                <w:lang w:val="en-US" w:eastAsia="zh-CN"/>
              </w:rPr>
              <w:t>一级道路（主干道）4500㎡/人，二级道路（次干道）5000㎡/人，三级道路（一般道路）5500㎡/人，四级道路（小街巷）6000㎡/人，每天反复扫，人口密集繁华地段应适当减少面积。</w:t>
            </w:r>
            <w:r>
              <w:rPr>
                <w:color w:val="auto"/>
                <w:sz w:val="24"/>
                <w:szCs w:val="24"/>
                <w:highlight w:val="none"/>
              </w:rPr>
              <w:t>服务期内一线作业人数东片区应不少于3</w:t>
            </w:r>
            <w:r>
              <w:rPr>
                <w:rFonts w:hint="eastAsia"/>
                <w:color w:val="auto"/>
                <w:sz w:val="24"/>
                <w:szCs w:val="24"/>
                <w:highlight w:val="none"/>
                <w:lang w:val="en-US" w:eastAsia="zh-CN"/>
              </w:rPr>
              <w:t>5</w:t>
            </w:r>
            <w:r>
              <w:rPr>
                <w:color w:val="auto"/>
                <w:sz w:val="24"/>
                <w:szCs w:val="24"/>
                <w:highlight w:val="none"/>
              </w:rPr>
              <w:t>0人（不含管理和司机、其他人员）</w:t>
            </w:r>
            <w:r>
              <w:rPr>
                <w:rFonts w:hint="eastAsia"/>
                <w:color w:val="auto"/>
                <w:sz w:val="24"/>
                <w:szCs w:val="24"/>
                <w:highlight w:val="none"/>
                <w:lang w:eastAsia="zh-CN"/>
              </w:rPr>
              <w:t>，</w:t>
            </w:r>
            <w:r>
              <w:rPr>
                <w:rFonts w:hint="eastAsia"/>
                <w:color w:val="auto"/>
                <w:sz w:val="24"/>
                <w:szCs w:val="24"/>
                <w:highlight w:val="none"/>
                <w:lang w:val="en-US" w:eastAsia="zh-CN"/>
              </w:rPr>
              <w:t>人员配置详见公告附件《人员配置表》。鼓励中标人推广自动化、智能化机械作业，若有，则上述人数要求可作适当调整</w:t>
            </w:r>
            <w:r>
              <w:rPr>
                <w:rFonts w:hint="eastAsia"/>
                <w:color w:val="auto"/>
                <w:sz w:val="24"/>
                <w:szCs w:val="24"/>
                <w:highlight w:val="none"/>
                <w:lang w:eastAsia="zh-CN"/>
              </w:rPr>
              <w:t>。</w:t>
            </w:r>
          </w:p>
          <w:p w14:paraId="4105CAA8">
            <w:pPr>
              <w:numPr>
                <w:ilvl w:val="0"/>
                <w:numId w:val="0"/>
              </w:numPr>
              <w:spacing w:line="360" w:lineRule="auto"/>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中标人必须按月足额发放工人薪酬，同时按有关的要求购买社会保险，如发生因中标人责任造成的欠薪事件，造成恶劣影响的，采购人有权单方终止合同，同时没收履约保证金。</w:t>
            </w:r>
          </w:p>
        </w:tc>
      </w:tr>
      <w:tr w14:paraId="73F72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40E7700A">
            <w:pPr>
              <w:spacing w:line="360" w:lineRule="auto"/>
              <w:rPr>
                <w:color w:val="auto"/>
                <w:sz w:val="24"/>
                <w:szCs w:val="24"/>
                <w:highlight w:val="none"/>
              </w:rPr>
            </w:pPr>
          </w:p>
        </w:tc>
        <w:tc>
          <w:tcPr>
            <w:tcW w:w="630" w:type="dxa"/>
          </w:tcPr>
          <w:p w14:paraId="5E0DC21E">
            <w:pPr>
              <w:spacing w:line="360" w:lineRule="auto"/>
              <w:rPr>
                <w:color w:val="auto"/>
                <w:sz w:val="24"/>
                <w:szCs w:val="24"/>
                <w:highlight w:val="none"/>
              </w:rPr>
            </w:pPr>
            <w:r>
              <w:rPr>
                <w:color w:val="auto"/>
                <w:sz w:val="24"/>
                <w:szCs w:val="24"/>
                <w:highlight w:val="none"/>
              </w:rPr>
              <w:t>7</w:t>
            </w:r>
          </w:p>
        </w:tc>
        <w:tc>
          <w:tcPr>
            <w:tcW w:w="8328" w:type="dxa"/>
          </w:tcPr>
          <w:p w14:paraId="0F6AB615">
            <w:pPr>
              <w:spacing w:line="360" w:lineRule="auto"/>
              <w:jc w:val="left"/>
              <w:rPr>
                <w:color w:val="auto"/>
                <w:sz w:val="24"/>
                <w:szCs w:val="24"/>
                <w:highlight w:val="none"/>
              </w:rPr>
            </w:pPr>
            <w:r>
              <w:rPr>
                <w:b/>
                <w:color w:val="auto"/>
                <w:sz w:val="24"/>
                <w:szCs w:val="24"/>
                <w:highlight w:val="none"/>
              </w:rPr>
              <w:t>环卫设施设备投入</w:t>
            </w:r>
          </w:p>
          <w:p w14:paraId="3DF7575D">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中标人自行配置办公场地等设施。</w:t>
            </w:r>
          </w:p>
          <w:p w14:paraId="03A75987">
            <w:pPr>
              <w:spacing w:line="360" w:lineRule="auto"/>
              <w:jc w:val="left"/>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设备要求：</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6"/>
              <w:gridCol w:w="1545"/>
              <w:gridCol w:w="3199"/>
              <w:gridCol w:w="2593"/>
            </w:tblGrid>
            <w:tr w14:paraId="701351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single" w:color="000000" w:sz="8" w:space="0"/>
                    <w:left w:val="single" w:color="000000" w:sz="8" w:space="0"/>
                    <w:bottom w:val="single" w:color="000000" w:sz="8" w:space="0"/>
                    <w:right w:val="single" w:color="000000" w:sz="8" w:space="0"/>
                  </w:tcBorders>
                  <w:vAlign w:val="center"/>
                </w:tcPr>
                <w:p w14:paraId="3E4877A3">
                  <w:pPr>
                    <w:spacing w:line="360" w:lineRule="auto"/>
                    <w:jc w:val="both"/>
                    <w:rPr>
                      <w:color w:val="auto"/>
                      <w:sz w:val="24"/>
                      <w:szCs w:val="24"/>
                      <w:highlight w:val="none"/>
                    </w:rPr>
                  </w:pPr>
                  <w:r>
                    <w:rPr>
                      <w:color w:val="auto"/>
                      <w:sz w:val="24"/>
                      <w:szCs w:val="24"/>
                      <w:highlight w:val="none"/>
                    </w:rPr>
                    <w:t>序号</w:t>
                  </w:r>
                </w:p>
              </w:tc>
              <w:tc>
                <w:tcPr>
                  <w:tcW w:w="1545" w:type="dxa"/>
                  <w:tcBorders>
                    <w:top w:val="single" w:color="000000" w:sz="8" w:space="0"/>
                    <w:left w:val="nil"/>
                    <w:bottom w:val="single" w:color="000000" w:sz="8" w:space="0"/>
                    <w:right w:val="single" w:color="000000" w:sz="8" w:space="0"/>
                  </w:tcBorders>
                  <w:vAlign w:val="center"/>
                </w:tcPr>
                <w:p w14:paraId="192541EA">
                  <w:pPr>
                    <w:spacing w:line="360" w:lineRule="auto"/>
                    <w:jc w:val="both"/>
                    <w:rPr>
                      <w:color w:val="auto"/>
                      <w:sz w:val="24"/>
                      <w:szCs w:val="24"/>
                      <w:highlight w:val="none"/>
                    </w:rPr>
                  </w:pPr>
                  <w:r>
                    <w:rPr>
                      <w:color w:val="auto"/>
                      <w:sz w:val="24"/>
                      <w:szCs w:val="24"/>
                      <w:highlight w:val="none"/>
                    </w:rPr>
                    <w:t>设备名称</w:t>
                  </w:r>
                </w:p>
              </w:tc>
              <w:tc>
                <w:tcPr>
                  <w:tcW w:w="3199" w:type="dxa"/>
                  <w:tcBorders>
                    <w:top w:val="single" w:color="000000" w:sz="8" w:space="0"/>
                    <w:left w:val="nil"/>
                    <w:bottom w:val="single" w:color="000000" w:sz="8" w:space="0"/>
                    <w:right w:val="single" w:color="000000" w:sz="8" w:space="0"/>
                  </w:tcBorders>
                  <w:vAlign w:val="center"/>
                </w:tcPr>
                <w:p w14:paraId="2B2CC0D3">
                  <w:pPr>
                    <w:spacing w:line="360" w:lineRule="auto"/>
                    <w:jc w:val="both"/>
                    <w:rPr>
                      <w:color w:val="auto"/>
                      <w:sz w:val="24"/>
                      <w:szCs w:val="24"/>
                      <w:highlight w:val="none"/>
                    </w:rPr>
                  </w:pPr>
                  <w:r>
                    <w:rPr>
                      <w:color w:val="auto"/>
                      <w:sz w:val="24"/>
                      <w:szCs w:val="24"/>
                      <w:highlight w:val="none"/>
                    </w:rPr>
                    <w:t>数量</w:t>
                  </w:r>
                </w:p>
              </w:tc>
              <w:tc>
                <w:tcPr>
                  <w:tcW w:w="2593" w:type="dxa"/>
                  <w:tcBorders>
                    <w:top w:val="single" w:color="000000" w:sz="8" w:space="0"/>
                    <w:left w:val="nil"/>
                    <w:bottom w:val="single" w:color="000000" w:sz="8" w:space="0"/>
                    <w:right w:val="single" w:color="000000" w:sz="8" w:space="0"/>
                  </w:tcBorders>
                  <w:vAlign w:val="center"/>
                </w:tcPr>
                <w:p w14:paraId="1234FFA9">
                  <w:pPr>
                    <w:spacing w:line="360" w:lineRule="auto"/>
                    <w:jc w:val="both"/>
                    <w:rPr>
                      <w:color w:val="auto"/>
                      <w:sz w:val="24"/>
                      <w:szCs w:val="24"/>
                      <w:highlight w:val="none"/>
                    </w:rPr>
                  </w:pPr>
                  <w:r>
                    <w:rPr>
                      <w:color w:val="auto"/>
                      <w:sz w:val="24"/>
                      <w:szCs w:val="24"/>
                      <w:highlight w:val="none"/>
                    </w:rPr>
                    <w:t>备注</w:t>
                  </w:r>
                </w:p>
              </w:tc>
            </w:tr>
            <w:tr w14:paraId="2E554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8" w:space="0"/>
                    <w:bottom w:val="single" w:color="000000" w:sz="8" w:space="0"/>
                    <w:right w:val="single" w:color="000000" w:sz="8" w:space="0"/>
                  </w:tcBorders>
                  <w:vAlign w:val="center"/>
                </w:tcPr>
                <w:p w14:paraId="0E3AAEF5">
                  <w:pPr>
                    <w:spacing w:line="360" w:lineRule="auto"/>
                    <w:jc w:val="both"/>
                    <w:rPr>
                      <w:color w:val="auto"/>
                      <w:sz w:val="24"/>
                      <w:szCs w:val="24"/>
                      <w:highlight w:val="none"/>
                    </w:rPr>
                  </w:pPr>
                  <w:r>
                    <w:rPr>
                      <w:color w:val="auto"/>
                      <w:sz w:val="24"/>
                      <w:szCs w:val="24"/>
                      <w:highlight w:val="none"/>
                    </w:rPr>
                    <w:t>1</w:t>
                  </w:r>
                </w:p>
              </w:tc>
              <w:tc>
                <w:tcPr>
                  <w:tcW w:w="1545" w:type="dxa"/>
                  <w:tcBorders>
                    <w:top w:val="nil"/>
                    <w:left w:val="nil"/>
                    <w:bottom w:val="single" w:color="000000" w:sz="8" w:space="0"/>
                    <w:right w:val="single" w:color="000000" w:sz="8" w:space="0"/>
                  </w:tcBorders>
                  <w:vAlign w:val="center"/>
                </w:tcPr>
                <w:p w14:paraId="44AB016E">
                  <w:pPr>
                    <w:spacing w:line="360" w:lineRule="auto"/>
                    <w:jc w:val="both"/>
                    <w:rPr>
                      <w:color w:val="auto"/>
                      <w:sz w:val="24"/>
                      <w:szCs w:val="24"/>
                      <w:highlight w:val="none"/>
                    </w:rPr>
                  </w:pPr>
                  <w:r>
                    <w:rPr>
                      <w:color w:val="auto"/>
                      <w:sz w:val="24"/>
                      <w:szCs w:val="24"/>
                      <w:highlight w:val="none"/>
                    </w:rPr>
                    <w:t>垃圾运输车辆</w:t>
                  </w:r>
                </w:p>
              </w:tc>
              <w:tc>
                <w:tcPr>
                  <w:tcW w:w="3199" w:type="dxa"/>
                  <w:tcBorders>
                    <w:top w:val="nil"/>
                    <w:left w:val="nil"/>
                    <w:bottom w:val="single" w:color="000000" w:sz="8" w:space="0"/>
                    <w:right w:val="single" w:color="000000" w:sz="8" w:space="0"/>
                  </w:tcBorders>
                  <w:vAlign w:val="center"/>
                </w:tcPr>
                <w:p w14:paraId="34499EF2">
                  <w:pPr>
                    <w:spacing w:line="360" w:lineRule="auto"/>
                    <w:jc w:val="both"/>
                    <w:rPr>
                      <w:color w:val="auto"/>
                      <w:sz w:val="24"/>
                      <w:szCs w:val="24"/>
                      <w:highlight w:val="none"/>
                    </w:rPr>
                  </w:pPr>
                  <w:r>
                    <w:rPr>
                      <w:color w:val="auto"/>
                      <w:sz w:val="24"/>
                      <w:szCs w:val="24"/>
                      <w:highlight w:val="none"/>
                    </w:rPr>
                    <w:t>按压缩站每站1.2辆运输车配设，箱体按车位2车位1箱、3车位2箱（即每站只留1车位为倒运箱位），每辆运输车带1箱比例配设。</w:t>
                  </w:r>
                </w:p>
              </w:tc>
              <w:tc>
                <w:tcPr>
                  <w:tcW w:w="2593" w:type="dxa"/>
                  <w:tcBorders>
                    <w:top w:val="nil"/>
                    <w:left w:val="nil"/>
                    <w:bottom w:val="single" w:color="000000" w:sz="8" w:space="0"/>
                    <w:right w:val="single" w:color="000000" w:sz="8" w:space="0"/>
                  </w:tcBorders>
                  <w:vAlign w:val="center"/>
                </w:tcPr>
                <w:p w14:paraId="53DC6E43">
                  <w:pPr>
                    <w:spacing w:line="360" w:lineRule="auto"/>
                    <w:jc w:val="both"/>
                    <w:rPr>
                      <w:color w:val="auto"/>
                      <w:sz w:val="24"/>
                      <w:szCs w:val="24"/>
                      <w:highlight w:val="none"/>
                    </w:rPr>
                  </w:pPr>
                  <w:r>
                    <w:rPr>
                      <w:color w:val="auto"/>
                      <w:sz w:val="24"/>
                      <w:szCs w:val="24"/>
                      <w:highlight w:val="none"/>
                    </w:rPr>
                    <w:t>满足垃圾分类运载需要</w:t>
                  </w:r>
                </w:p>
              </w:tc>
            </w:tr>
            <w:tr w14:paraId="2A19F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8" w:space="0"/>
                    <w:bottom w:val="single" w:color="000000" w:sz="8" w:space="0"/>
                    <w:right w:val="single" w:color="000000" w:sz="8" w:space="0"/>
                  </w:tcBorders>
                  <w:vAlign w:val="center"/>
                </w:tcPr>
                <w:p w14:paraId="23FB8823">
                  <w:pPr>
                    <w:spacing w:line="360" w:lineRule="auto"/>
                    <w:jc w:val="both"/>
                    <w:rPr>
                      <w:color w:val="auto"/>
                      <w:sz w:val="24"/>
                      <w:szCs w:val="24"/>
                      <w:highlight w:val="none"/>
                    </w:rPr>
                  </w:pPr>
                  <w:r>
                    <w:rPr>
                      <w:color w:val="auto"/>
                      <w:sz w:val="24"/>
                      <w:szCs w:val="24"/>
                      <w:highlight w:val="none"/>
                    </w:rPr>
                    <w:t>2</w:t>
                  </w:r>
                </w:p>
              </w:tc>
              <w:tc>
                <w:tcPr>
                  <w:tcW w:w="1545" w:type="dxa"/>
                  <w:tcBorders>
                    <w:top w:val="nil"/>
                    <w:left w:val="nil"/>
                    <w:bottom w:val="single" w:color="000000" w:sz="8" w:space="0"/>
                    <w:right w:val="single" w:color="000000" w:sz="8" w:space="0"/>
                  </w:tcBorders>
                  <w:vAlign w:val="center"/>
                </w:tcPr>
                <w:p w14:paraId="6F202F65">
                  <w:pPr>
                    <w:spacing w:line="360" w:lineRule="auto"/>
                    <w:jc w:val="both"/>
                    <w:rPr>
                      <w:color w:val="auto"/>
                      <w:sz w:val="24"/>
                      <w:szCs w:val="24"/>
                      <w:highlight w:val="none"/>
                    </w:rPr>
                  </w:pPr>
                  <w:r>
                    <w:rPr>
                      <w:color w:val="auto"/>
                      <w:sz w:val="24"/>
                      <w:szCs w:val="24"/>
                      <w:highlight w:val="none"/>
                    </w:rPr>
                    <w:t>道路清扫车（3t~8t）</w:t>
                  </w:r>
                </w:p>
              </w:tc>
              <w:tc>
                <w:tcPr>
                  <w:tcW w:w="3199" w:type="dxa"/>
                  <w:tcBorders>
                    <w:top w:val="nil"/>
                    <w:left w:val="nil"/>
                    <w:bottom w:val="single" w:color="000000" w:sz="8" w:space="0"/>
                    <w:right w:val="single" w:color="000000" w:sz="8" w:space="0"/>
                  </w:tcBorders>
                  <w:vAlign w:val="center"/>
                </w:tcPr>
                <w:p w14:paraId="6F37C972">
                  <w:pPr>
                    <w:spacing w:line="360" w:lineRule="auto"/>
                    <w:jc w:val="both"/>
                    <w:rPr>
                      <w:color w:val="auto"/>
                      <w:sz w:val="24"/>
                      <w:szCs w:val="24"/>
                      <w:highlight w:val="none"/>
                    </w:rPr>
                  </w:pPr>
                  <w:r>
                    <w:rPr>
                      <w:color w:val="auto"/>
                      <w:sz w:val="24"/>
                      <w:szCs w:val="24"/>
                      <w:highlight w:val="none"/>
                    </w:rPr>
                    <w:t>不少于5辆</w:t>
                  </w:r>
                </w:p>
              </w:tc>
              <w:tc>
                <w:tcPr>
                  <w:tcW w:w="2593" w:type="dxa"/>
                  <w:tcBorders>
                    <w:top w:val="nil"/>
                    <w:left w:val="nil"/>
                    <w:bottom w:val="single" w:color="000000" w:sz="8" w:space="0"/>
                    <w:right w:val="single" w:color="000000" w:sz="8" w:space="0"/>
                  </w:tcBorders>
                  <w:vAlign w:val="center"/>
                </w:tcPr>
                <w:p w14:paraId="65887C16">
                  <w:pPr>
                    <w:spacing w:line="360" w:lineRule="auto"/>
                    <w:jc w:val="both"/>
                    <w:rPr>
                      <w:color w:val="auto"/>
                      <w:sz w:val="24"/>
                      <w:szCs w:val="24"/>
                      <w:highlight w:val="none"/>
                    </w:rPr>
                  </w:pPr>
                  <w:r>
                    <w:rPr>
                      <w:color w:val="auto"/>
                      <w:sz w:val="24"/>
                      <w:szCs w:val="24"/>
                      <w:highlight w:val="none"/>
                    </w:rPr>
                    <w:t>总质量</w:t>
                  </w:r>
                </w:p>
              </w:tc>
            </w:tr>
            <w:tr w14:paraId="5DA0A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8" w:space="0"/>
                    <w:bottom w:val="single" w:color="000000" w:sz="8" w:space="0"/>
                    <w:right w:val="single" w:color="000000" w:sz="8" w:space="0"/>
                  </w:tcBorders>
                  <w:vAlign w:val="center"/>
                </w:tcPr>
                <w:p w14:paraId="711A30E4">
                  <w:pPr>
                    <w:spacing w:line="360" w:lineRule="auto"/>
                    <w:jc w:val="both"/>
                    <w:rPr>
                      <w:color w:val="auto"/>
                      <w:sz w:val="24"/>
                      <w:szCs w:val="24"/>
                      <w:highlight w:val="none"/>
                    </w:rPr>
                  </w:pPr>
                  <w:r>
                    <w:rPr>
                      <w:color w:val="auto"/>
                      <w:sz w:val="24"/>
                      <w:szCs w:val="24"/>
                      <w:highlight w:val="none"/>
                    </w:rPr>
                    <w:t>3</w:t>
                  </w:r>
                </w:p>
              </w:tc>
              <w:tc>
                <w:tcPr>
                  <w:tcW w:w="1545" w:type="dxa"/>
                  <w:tcBorders>
                    <w:top w:val="nil"/>
                    <w:left w:val="nil"/>
                    <w:bottom w:val="single" w:color="000000" w:sz="8" w:space="0"/>
                    <w:right w:val="single" w:color="000000" w:sz="8" w:space="0"/>
                  </w:tcBorders>
                  <w:vAlign w:val="center"/>
                </w:tcPr>
                <w:p w14:paraId="549A5109">
                  <w:pPr>
                    <w:spacing w:line="360" w:lineRule="auto"/>
                    <w:jc w:val="both"/>
                    <w:rPr>
                      <w:color w:val="auto"/>
                      <w:sz w:val="24"/>
                      <w:szCs w:val="24"/>
                      <w:highlight w:val="none"/>
                    </w:rPr>
                  </w:pPr>
                  <w:r>
                    <w:rPr>
                      <w:color w:val="auto"/>
                      <w:sz w:val="24"/>
                      <w:szCs w:val="24"/>
                      <w:highlight w:val="none"/>
                    </w:rPr>
                    <w:t>中小型铲车</w:t>
                  </w:r>
                </w:p>
              </w:tc>
              <w:tc>
                <w:tcPr>
                  <w:tcW w:w="3199" w:type="dxa"/>
                  <w:tcBorders>
                    <w:top w:val="nil"/>
                    <w:left w:val="nil"/>
                    <w:bottom w:val="single" w:color="000000" w:sz="8" w:space="0"/>
                    <w:right w:val="single" w:color="000000" w:sz="8" w:space="0"/>
                  </w:tcBorders>
                  <w:vAlign w:val="center"/>
                </w:tcPr>
                <w:p w14:paraId="23959F95">
                  <w:pPr>
                    <w:spacing w:line="360" w:lineRule="auto"/>
                    <w:jc w:val="both"/>
                    <w:rPr>
                      <w:color w:val="auto"/>
                      <w:sz w:val="24"/>
                      <w:szCs w:val="24"/>
                      <w:highlight w:val="none"/>
                    </w:rPr>
                  </w:pPr>
                  <w:r>
                    <w:rPr>
                      <w:color w:val="auto"/>
                      <w:sz w:val="24"/>
                      <w:szCs w:val="24"/>
                      <w:highlight w:val="none"/>
                    </w:rPr>
                    <w:t>不少于1辆</w:t>
                  </w:r>
                </w:p>
              </w:tc>
              <w:tc>
                <w:tcPr>
                  <w:tcW w:w="2593" w:type="dxa"/>
                  <w:tcBorders>
                    <w:top w:val="nil"/>
                    <w:left w:val="nil"/>
                    <w:bottom w:val="single" w:color="000000" w:sz="8" w:space="0"/>
                    <w:right w:val="single" w:color="000000" w:sz="8" w:space="0"/>
                  </w:tcBorders>
                  <w:vAlign w:val="center"/>
                </w:tcPr>
                <w:p w14:paraId="68E53B9B">
                  <w:pPr>
                    <w:spacing w:line="360" w:lineRule="auto"/>
                    <w:jc w:val="both"/>
                    <w:rPr>
                      <w:color w:val="auto"/>
                      <w:sz w:val="24"/>
                      <w:szCs w:val="24"/>
                      <w:highlight w:val="none"/>
                    </w:rPr>
                  </w:pPr>
                  <w:r>
                    <w:rPr>
                      <w:color w:val="auto"/>
                      <w:sz w:val="24"/>
                      <w:szCs w:val="24"/>
                      <w:highlight w:val="none"/>
                    </w:rPr>
                    <w:t>总质量</w:t>
                  </w:r>
                </w:p>
              </w:tc>
            </w:tr>
            <w:tr w14:paraId="107C4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8" w:space="0"/>
                    <w:bottom w:val="single" w:color="000000" w:sz="8" w:space="0"/>
                    <w:right w:val="single" w:color="000000" w:sz="8" w:space="0"/>
                  </w:tcBorders>
                  <w:vAlign w:val="center"/>
                </w:tcPr>
                <w:p w14:paraId="50E34C17">
                  <w:pPr>
                    <w:spacing w:line="360" w:lineRule="auto"/>
                    <w:jc w:val="both"/>
                    <w:rPr>
                      <w:color w:val="auto"/>
                      <w:sz w:val="24"/>
                      <w:szCs w:val="24"/>
                      <w:highlight w:val="none"/>
                    </w:rPr>
                  </w:pPr>
                  <w:r>
                    <w:rPr>
                      <w:color w:val="auto"/>
                      <w:sz w:val="24"/>
                      <w:szCs w:val="24"/>
                      <w:highlight w:val="none"/>
                    </w:rPr>
                    <w:t>4</w:t>
                  </w:r>
                </w:p>
              </w:tc>
              <w:tc>
                <w:tcPr>
                  <w:tcW w:w="1545" w:type="dxa"/>
                  <w:tcBorders>
                    <w:top w:val="nil"/>
                    <w:left w:val="nil"/>
                    <w:bottom w:val="single" w:color="000000" w:sz="8" w:space="0"/>
                    <w:right w:val="single" w:color="000000" w:sz="8" w:space="0"/>
                  </w:tcBorders>
                  <w:vAlign w:val="center"/>
                </w:tcPr>
                <w:p w14:paraId="280173B5">
                  <w:pPr>
                    <w:spacing w:line="360" w:lineRule="auto"/>
                    <w:jc w:val="both"/>
                    <w:rPr>
                      <w:color w:val="auto"/>
                      <w:sz w:val="24"/>
                      <w:szCs w:val="24"/>
                      <w:highlight w:val="none"/>
                    </w:rPr>
                  </w:pPr>
                  <w:r>
                    <w:rPr>
                      <w:color w:val="auto"/>
                      <w:sz w:val="24"/>
                      <w:szCs w:val="24"/>
                      <w:highlight w:val="none"/>
                    </w:rPr>
                    <w:t>护栏清洗车</w:t>
                  </w:r>
                </w:p>
              </w:tc>
              <w:tc>
                <w:tcPr>
                  <w:tcW w:w="3199" w:type="dxa"/>
                  <w:tcBorders>
                    <w:top w:val="nil"/>
                    <w:left w:val="nil"/>
                    <w:bottom w:val="single" w:color="000000" w:sz="8" w:space="0"/>
                    <w:right w:val="single" w:color="000000" w:sz="8" w:space="0"/>
                  </w:tcBorders>
                  <w:vAlign w:val="center"/>
                </w:tcPr>
                <w:p w14:paraId="6737F99D">
                  <w:pPr>
                    <w:spacing w:line="360" w:lineRule="auto"/>
                    <w:jc w:val="both"/>
                    <w:rPr>
                      <w:color w:val="auto"/>
                      <w:sz w:val="24"/>
                      <w:szCs w:val="24"/>
                      <w:highlight w:val="none"/>
                    </w:rPr>
                  </w:pPr>
                  <w:r>
                    <w:rPr>
                      <w:color w:val="auto"/>
                      <w:sz w:val="24"/>
                      <w:szCs w:val="24"/>
                      <w:highlight w:val="none"/>
                    </w:rPr>
                    <w:t>不少于</w:t>
                  </w:r>
                  <w:r>
                    <w:rPr>
                      <w:rFonts w:hint="eastAsia"/>
                      <w:color w:val="auto"/>
                      <w:sz w:val="24"/>
                      <w:szCs w:val="24"/>
                      <w:highlight w:val="none"/>
                      <w:lang w:val="en-US" w:eastAsia="zh-CN"/>
                    </w:rPr>
                    <w:t>1</w:t>
                  </w:r>
                  <w:r>
                    <w:rPr>
                      <w:color w:val="auto"/>
                      <w:sz w:val="24"/>
                      <w:szCs w:val="24"/>
                      <w:highlight w:val="none"/>
                    </w:rPr>
                    <w:t>辆</w:t>
                  </w:r>
                </w:p>
              </w:tc>
              <w:tc>
                <w:tcPr>
                  <w:tcW w:w="2593" w:type="dxa"/>
                  <w:tcBorders>
                    <w:top w:val="nil"/>
                    <w:left w:val="nil"/>
                    <w:bottom w:val="single" w:color="000000" w:sz="8" w:space="0"/>
                    <w:right w:val="single" w:color="000000" w:sz="8" w:space="0"/>
                  </w:tcBorders>
                  <w:vAlign w:val="center"/>
                </w:tcPr>
                <w:p w14:paraId="2AC6FE71">
                  <w:pPr>
                    <w:spacing w:line="360" w:lineRule="auto"/>
                    <w:jc w:val="both"/>
                    <w:rPr>
                      <w:color w:val="auto"/>
                      <w:sz w:val="24"/>
                      <w:szCs w:val="24"/>
                      <w:highlight w:val="none"/>
                    </w:rPr>
                  </w:pPr>
                  <w:r>
                    <w:rPr>
                      <w:color w:val="auto"/>
                      <w:sz w:val="24"/>
                      <w:szCs w:val="24"/>
                      <w:highlight w:val="none"/>
                    </w:rPr>
                    <w:t>总质量</w:t>
                  </w:r>
                </w:p>
              </w:tc>
            </w:tr>
            <w:tr w14:paraId="1781A1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8" w:space="0"/>
                    <w:bottom w:val="single" w:color="000000" w:sz="8" w:space="0"/>
                    <w:right w:val="single" w:color="000000" w:sz="8" w:space="0"/>
                  </w:tcBorders>
                  <w:vAlign w:val="center"/>
                </w:tcPr>
                <w:p w14:paraId="043273E7">
                  <w:pPr>
                    <w:spacing w:line="360" w:lineRule="auto"/>
                    <w:jc w:val="both"/>
                    <w:rPr>
                      <w:color w:val="auto"/>
                      <w:sz w:val="24"/>
                      <w:szCs w:val="24"/>
                      <w:highlight w:val="none"/>
                    </w:rPr>
                  </w:pPr>
                  <w:r>
                    <w:rPr>
                      <w:color w:val="auto"/>
                      <w:sz w:val="24"/>
                      <w:szCs w:val="24"/>
                      <w:highlight w:val="none"/>
                    </w:rPr>
                    <w:t>5</w:t>
                  </w:r>
                </w:p>
              </w:tc>
              <w:tc>
                <w:tcPr>
                  <w:tcW w:w="1545" w:type="dxa"/>
                  <w:tcBorders>
                    <w:top w:val="nil"/>
                    <w:left w:val="nil"/>
                    <w:bottom w:val="single" w:color="000000" w:sz="8" w:space="0"/>
                    <w:right w:val="single" w:color="000000" w:sz="8" w:space="0"/>
                  </w:tcBorders>
                  <w:vAlign w:val="center"/>
                </w:tcPr>
                <w:p w14:paraId="567BD34B">
                  <w:pPr>
                    <w:spacing w:line="360" w:lineRule="auto"/>
                    <w:jc w:val="both"/>
                    <w:rPr>
                      <w:color w:val="auto"/>
                      <w:sz w:val="24"/>
                      <w:szCs w:val="24"/>
                      <w:highlight w:val="none"/>
                    </w:rPr>
                  </w:pPr>
                  <w:r>
                    <w:rPr>
                      <w:color w:val="auto"/>
                      <w:sz w:val="24"/>
                      <w:szCs w:val="24"/>
                      <w:highlight w:val="none"/>
                    </w:rPr>
                    <w:t>各种小型机械扫路车、喷水降尘车辆</w:t>
                  </w:r>
                </w:p>
              </w:tc>
              <w:tc>
                <w:tcPr>
                  <w:tcW w:w="3199" w:type="dxa"/>
                  <w:tcBorders>
                    <w:top w:val="nil"/>
                    <w:left w:val="nil"/>
                    <w:bottom w:val="single" w:color="000000" w:sz="8" w:space="0"/>
                    <w:right w:val="single" w:color="000000" w:sz="8" w:space="0"/>
                  </w:tcBorders>
                  <w:vAlign w:val="center"/>
                </w:tcPr>
                <w:p w14:paraId="6B1C50AB">
                  <w:pPr>
                    <w:spacing w:line="360" w:lineRule="auto"/>
                    <w:jc w:val="both"/>
                    <w:rPr>
                      <w:color w:val="auto"/>
                      <w:sz w:val="24"/>
                      <w:szCs w:val="24"/>
                      <w:highlight w:val="none"/>
                    </w:rPr>
                  </w:pPr>
                  <w:r>
                    <w:rPr>
                      <w:color w:val="auto"/>
                      <w:sz w:val="24"/>
                      <w:szCs w:val="24"/>
                      <w:highlight w:val="none"/>
                    </w:rPr>
                    <w:t>满足实际工作要求但不得少于3辆</w:t>
                  </w:r>
                </w:p>
              </w:tc>
              <w:tc>
                <w:tcPr>
                  <w:tcW w:w="2593" w:type="dxa"/>
                  <w:tcBorders>
                    <w:top w:val="nil"/>
                    <w:left w:val="nil"/>
                    <w:bottom w:val="single" w:color="000000" w:sz="8" w:space="0"/>
                    <w:right w:val="single" w:color="000000" w:sz="8" w:space="0"/>
                  </w:tcBorders>
                  <w:vAlign w:val="center"/>
                </w:tcPr>
                <w:p w14:paraId="7E397615">
                  <w:pPr>
                    <w:spacing w:line="360" w:lineRule="auto"/>
                    <w:jc w:val="both"/>
                    <w:rPr>
                      <w:color w:val="auto"/>
                      <w:sz w:val="24"/>
                      <w:szCs w:val="24"/>
                      <w:highlight w:val="none"/>
                    </w:rPr>
                  </w:pPr>
                  <w:r>
                    <w:rPr>
                      <w:color w:val="auto"/>
                      <w:sz w:val="24"/>
                      <w:szCs w:val="24"/>
                      <w:highlight w:val="none"/>
                    </w:rPr>
                    <w:t>总质量</w:t>
                  </w:r>
                </w:p>
              </w:tc>
            </w:tr>
          </w:tbl>
          <w:p w14:paraId="57A1BF41">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中标人在按上表比例配备运输车辆时，但应满足机动车辆不少于5辆。必须使用符合环卫作业要求的垃圾手推车、电瓶车、环卫清扫保洁车等设备，车辆不得乱停乱放。</w:t>
            </w:r>
          </w:p>
          <w:p w14:paraId="40E41A90">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收集和清扫保洁车辆设备以及收集垃圾手推车、电瓶车要保持外观整洁完好，密闭，无破损、锈迹，定期检修刷漆翻新，同时按要求统一印刷标志，并且装运过程中不得满溢、洒漏，机动车辆和机械设备作业时应尽量避开上下班高峰期，并开启警示灯，严格遵守交通规则。</w:t>
            </w:r>
          </w:p>
          <w:p w14:paraId="59A3C508">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垃圾运输车辆作业要求：</w:t>
            </w:r>
          </w:p>
          <w:p w14:paraId="09636F3E">
            <w:pPr>
              <w:spacing w:line="360" w:lineRule="auto"/>
              <w:ind w:firstLine="240" w:firstLineChars="100"/>
              <w:jc w:val="left"/>
              <w:rPr>
                <w:color w:val="auto"/>
                <w:sz w:val="24"/>
                <w:szCs w:val="24"/>
                <w:highlight w:val="none"/>
              </w:rPr>
            </w:pPr>
            <w:r>
              <w:rPr>
                <w:color w:val="auto"/>
                <w:sz w:val="24"/>
                <w:szCs w:val="24"/>
                <w:highlight w:val="none"/>
              </w:rPr>
              <w:t>5.1</w:t>
            </w:r>
            <w:r>
              <w:rPr>
                <w:rFonts w:hint="eastAsia"/>
                <w:color w:val="auto"/>
                <w:sz w:val="24"/>
                <w:szCs w:val="24"/>
                <w:highlight w:val="none"/>
                <w:lang w:val="en-US" w:eastAsia="zh-CN"/>
              </w:rPr>
              <w:t xml:space="preserve"> </w:t>
            </w:r>
            <w:r>
              <w:rPr>
                <w:color w:val="auto"/>
                <w:sz w:val="24"/>
                <w:szCs w:val="24"/>
                <w:highlight w:val="none"/>
              </w:rPr>
              <w:t>车辆作业，按交通规则和作业路线行驶，文明礼让，严格遵守交通规则，安全驾驶。</w:t>
            </w:r>
          </w:p>
          <w:p w14:paraId="22047281">
            <w:pPr>
              <w:spacing w:line="360" w:lineRule="auto"/>
              <w:ind w:firstLine="240" w:firstLineChars="100"/>
              <w:jc w:val="left"/>
              <w:rPr>
                <w:color w:val="auto"/>
                <w:sz w:val="24"/>
                <w:szCs w:val="24"/>
                <w:highlight w:val="none"/>
              </w:rPr>
            </w:pPr>
            <w:r>
              <w:rPr>
                <w:color w:val="auto"/>
                <w:sz w:val="24"/>
                <w:szCs w:val="24"/>
                <w:highlight w:val="none"/>
              </w:rPr>
              <w:t>5.2</w:t>
            </w:r>
            <w:r>
              <w:rPr>
                <w:rFonts w:hint="eastAsia"/>
                <w:color w:val="auto"/>
                <w:sz w:val="24"/>
                <w:szCs w:val="24"/>
                <w:highlight w:val="none"/>
                <w:lang w:val="en-US" w:eastAsia="zh-CN"/>
              </w:rPr>
              <w:t xml:space="preserve"> </w:t>
            </w:r>
            <w:r>
              <w:rPr>
                <w:color w:val="auto"/>
                <w:sz w:val="24"/>
                <w:szCs w:val="24"/>
                <w:highlight w:val="none"/>
              </w:rPr>
              <w:t>生活垃圾运输车辆从起点至环保处理中心卸垃圾平台过程中，要密闭运输，做到无垃圾散落、飘挂，无垃圾污水洒漏，无沿路乱倒垃圾。</w:t>
            </w:r>
          </w:p>
          <w:p w14:paraId="19AC213B">
            <w:pPr>
              <w:spacing w:line="360" w:lineRule="auto"/>
              <w:ind w:firstLine="240" w:firstLineChars="100"/>
              <w:jc w:val="left"/>
              <w:rPr>
                <w:color w:val="auto"/>
                <w:sz w:val="24"/>
                <w:szCs w:val="24"/>
                <w:highlight w:val="none"/>
              </w:rPr>
            </w:pPr>
            <w:r>
              <w:rPr>
                <w:color w:val="auto"/>
                <w:sz w:val="24"/>
                <w:szCs w:val="24"/>
                <w:highlight w:val="none"/>
              </w:rPr>
              <w:t>5.3</w:t>
            </w:r>
            <w:r>
              <w:rPr>
                <w:rFonts w:hint="eastAsia"/>
                <w:color w:val="auto"/>
                <w:sz w:val="24"/>
                <w:szCs w:val="24"/>
                <w:highlight w:val="none"/>
                <w:lang w:val="en-US" w:eastAsia="zh-CN"/>
              </w:rPr>
              <w:t xml:space="preserve"> </w:t>
            </w:r>
            <w:r>
              <w:rPr>
                <w:color w:val="auto"/>
                <w:sz w:val="24"/>
                <w:szCs w:val="24"/>
                <w:highlight w:val="none"/>
              </w:rPr>
              <w:t>车容车貌完好美观、干净整洁、标识规范。</w:t>
            </w:r>
          </w:p>
          <w:p w14:paraId="1895B9A9">
            <w:pPr>
              <w:spacing w:line="360" w:lineRule="auto"/>
              <w:ind w:firstLine="240" w:firstLineChars="100"/>
              <w:jc w:val="left"/>
              <w:rPr>
                <w:color w:val="auto"/>
                <w:sz w:val="24"/>
                <w:szCs w:val="24"/>
                <w:highlight w:val="none"/>
              </w:rPr>
            </w:pPr>
            <w:r>
              <w:rPr>
                <w:color w:val="auto"/>
                <w:sz w:val="24"/>
                <w:szCs w:val="24"/>
                <w:highlight w:val="none"/>
              </w:rPr>
              <w:t>5.4</w:t>
            </w:r>
            <w:r>
              <w:rPr>
                <w:rFonts w:hint="eastAsia"/>
                <w:color w:val="auto"/>
                <w:sz w:val="24"/>
                <w:szCs w:val="24"/>
                <w:highlight w:val="none"/>
                <w:lang w:val="en-US" w:eastAsia="zh-CN"/>
              </w:rPr>
              <w:t xml:space="preserve"> </w:t>
            </w:r>
            <w:r>
              <w:rPr>
                <w:color w:val="auto"/>
                <w:sz w:val="24"/>
                <w:szCs w:val="24"/>
                <w:highlight w:val="none"/>
              </w:rPr>
              <w:t>严格执行进磅计量，索取计量单，服从检查指挥。</w:t>
            </w:r>
          </w:p>
          <w:p w14:paraId="0FC88C31">
            <w:pPr>
              <w:spacing w:line="360" w:lineRule="auto"/>
              <w:ind w:firstLine="240" w:firstLineChars="100"/>
              <w:jc w:val="left"/>
              <w:rPr>
                <w:color w:val="auto"/>
                <w:sz w:val="24"/>
                <w:szCs w:val="24"/>
                <w:highlight w:val="none"/>
              </w:rPr>
            </w:pPr>
            <w:r>
              <w:rPr>
                <w:color w:val="auto"/>
                <w:sz w:val="24"/>
                <w:szCs w:val="24"/>
                <w:highlight w:val="none"/>
              </w:rPr>
              <w:t>5.5</w:t>
            </w:r>
            <w:r>
              <w:rPr>
                <w:rFonts w:hint="eastAsia"/>
                <w:color w:val="auto"/>
                <w:sz w:val="24"/>
                <w:szCs w:val="24"/>
                <w:highlight w:val="none"/>
                <w:lang w:val="en-US" w:eastAsia="zh-CN"/>
              </w:rPr>
              <w:t xml:space="preserve"> </w:t>
            </w:r>
            <w:r>
              <w:rPr>
                <w:color w:val="auto"/>
                <w:sz w:val="24"/>
                <w:szCs w:val="24"/>
                <w:highlight w:val="none"/>
              </w:rPr>
              <w:t>在环保处理中心（倾倒区）卸垃圾时，垃圾运输车辆必须听从现场人员指挥，在卸垃圾平台卸完垃圾后，即予关闭复位</w:t>
            </w:r>
            <w:r>
              <w:rPr>
                <w:rFonts w:hint="eastAsia"/>
                <w:color w:val="auto"/>
                <w:sz w:val="24"/>
                <w:szCs w:val="24"/>
                <w:highlight w:val="none"/>
                <w:lang w:val="en-US" w:eastAsia="zh-CN"/>
              </w:rPr>
              <w:t>车</w:t>
            </w:r>
            <w:r>
              <w:rPr>
                <w:rFonts w:hint="eastAsia" w:cs="宋体"/>
                <w:color w:val="auto"/>
                <w:sz w:val="24"/>
                <w:szCs w:val="24"/>
                <w:highlight w:val="none"/>
                <w:lang w:val="en-US" w:eastAsia="zh-CN"/>
              </w:rPr>
              <w:t>箱</w:t>
            </w:r>
            <w:r>
              <w:rPr>
                <w:color w:val="auto"/>
                <w:sz w:val="24"/>
                <w:szCs w:val="24"/>
                <w:highlight w:val="none"/>
              </w:rPr>
              <w:t>，并把</w:t>
            </w:r>
            <w:r>
              <w:rPr>
                <w:rFonts w:hint="eastAsia"/>
                <w:color w:val="auto"/>
                <w:sz w:val="24"/>
                <w:szCs w:val="24"/>
                <w:highlight w:val="none"/>
                <w:lang w:val="en-US" w:eastAsia="zh-CN"/>
              </w:rPr>
              <w:t>车</w:t>
            </w:r>
            <w:r>
              <w:rPr>
                <w:rFonts w:hint="eastAsia" w:cs="宋体"/>
                <w:color w:val="auto"/>
                <w:sz w:val="24"/>
                <w:szCs w:val="24"/>
                <w:highlight w:val="none"/>
                <w:lang w:val="en-US" w:eastAsia="zh-CN"/>
              </w:rPr>
              <w:t>箱</w:t>
            </w:r>
            <w:r>
              <w:rPr>
                <w:color w:val="auto"/>
                <w:sz w:val="24"/>
                <w:szCs w:val="24"/>
                <w:highlight w:val="none"/>
              </w:rPr>
              <w:t>周边拖挂的垃圾清理干净方能离开卸垃圾平台。</w:t>
            </w:r>
          </w:p>
          <w:p w14:paraId="5D5A3C7B">
            <w:pPr>
              <w:spacing w:line="360" w:lineRule="auto"/>
              <w:ind w:firstLine="240" w:firstLineChars="100"/>
              <w:jc w:val="left"/>
              <w:rPr>
                <w:color w:val="auto"/>
                <w:sz w:val="24"/>
                <w:szCs w:val="24"/>
                <w:highlight w:val="none"/>
              </w:rPr>
            </w:pPr>
            <w:r>
              <w:rPr>
                <w:color w:val="auto"/>
                <w:sz w:val="24"/>
                <w:szCs w:val="24"/>
                <w:highlight w:val="none"/>
              </w:rPr>
              <w:t>5.6</w:t>
            </w:r>
            <w:r>
              <w:rPr>
                <w:rFonts w:hint="eastAsia"/>
                <w:color w:val="auto"/>
                <w:sz w:val="24"/>
                <w:szCs w:val="24"/>
                <w:highlight w:val="none"/>
                <w:lang w:val="en-US" w:eastAsia="zh-CN"/>
              </w:rPr>
              <w:t xml:space="preserve"> </w:t>
            </w:r>
            <w:r>
              <w:rPr>
                <w:color w:val="auto"/>
                <w:sz w:val="24"/>
                <w:szCs w:val="24"/>
                <w:highlight w:val="none"/>
              </w:rPr>
              <w:t>生活垃圾运输车辆离开环保处理中心（倾倒区）后必须依次减速通过车轮清洗平台，使车辆车轮自动清洗干净，同时再次检查确认车辆完全密闭后再上路。</w:t>
            </w:r>
          </w:p>
          <w:p w14:paraId="6A1F6D00">
            <w:pPr>
              <w:spacing w:line="360" w:lineRule="auto"/>
              <w:ind w:firstLine="240" w:firstLineChars="100"/>
              <w:jc w:val="left"/>
              <w:rPr>
                <w:color w:val="auto"/>
                <w:sz w:val="24"/>
                <w:szCs w:val="24"/>
                <w:highlight w:val="none"/>
              </w:rPr>
            </w:pPr>
            <w:r>
              <w:rPr>
                <w:color w:val="auto"/>
                <w:sz w:val="24"/>
                <w:szCs w:val="24"/>
                <w:highlight w:val="none"/>
              </w:rPr>
              <w:t>5.7</w:t>
            </w:r>
            <w:r>
              <w:rPr>
                <w:rFonts w:hint="eastAsia"/>
                <w:color w:val="auto"/>
                <w:sz w:val="24"/>
                <w:szCs w:val="24"/>
                <w:highlight w:val="none"/>
                <w:lang w:val="en-US" w:eastAsia="zh-CN"/>
              </w:rPr>
              <w:t xml:space="preserve"> </w:t>
            </w:r>
            <w:r>
              <w:rPr>
                <w:color w:val="auto"/>
                <w:sz w:val="24"/>
                <w:szCs w:val="24"/>
                <w:highlight w:val="none"/>
              </w:rPr>
              <w:t>除“四害”要达到国家卫生城市标准。</w:t>
            </w:r>
          </w:p>
          <w:p w14:paraId="00043D42">
            <w:pPr>
              <w:spacing w:line="360" w:lineRule="auto"/>
              <w:ind w:firstLine="240" w:firstLineChars="100"/>
              <w:jc w:val="left"/>
              <w:rPr>
                <w:color w:val="auto"/>
                <w:sz w:val="24"/>
                <w:szCs w:val="24"/>
                <w:highlight w:val="none"/>
              </w:rPr>
            </w:pPr>
            <w:r>
              <w:rPr>
                <w:color w:val="auto"/>
                <w:sz w:val="24"/>
                <w:szCs w:val="24"/>
                <w:highlight w:val="none"/>
              </w:rPr>
              <w:t>5.8</w:t>
            </w:r>
            <w:r>
              <w:rPr>
                <w:rFonts w:hint="eastAsia"/>
                <w:color w:val="auto"/>
                <w:sz w:val="24"/>
                <w:szCs w:val="24"/>
                <w:highlight w:val="none"/>
                <w:lang w:val="en-US" w:eastAsia="zh-CN"/>
              </w:rPr>
              <w:t xml:space="preserve"> </w:t>
            </w:r>
            <w:r>
              <w:rPr>
                <w:color w:val="auto"/>
                <w:sz w:val="24"/>
                <w:szCs w:val="24"/>
                <w:highlight w:val="none"/>
              </w:rPr>
              <w:t>每天应对作业车辆进行清洗，即每次运载时必须清洗干净方可上路，遇重大活动，要增加清洗次数。</w:t>
            </w:r>
          </w:p>
          <w:p w14:paraId="2163B59E">
            <w:pPr>
              <w:spacing w:line="360" w:lineRule="auto"/>
              <w:jc w:val="left"/>
              <w:rPr>
                <w:color w:val="auto"/>
                <w:sz w:val="24"/>
                <w:szCs w:val="24"/>
                <w:highlight w:val="none"/>
              </w:rPr>
            </w:pP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保洁、清扫以及垃圾装运等工作所需的三轮车、柴油车辆等机械设备、作业工具、劳保用品等中标人自行配置，但小型装载车辆不少于一台以上，于合同签订后带入场地使用，完成项目作业需求。</w:t>
            </w:r>
          </w:p>
          <w:p w14:paraId="36DC6EF4">
            <w:pPr>
              <w:spacing w:line="360" w:lineRule="auto"/>
              <w:jc w:val="left"/>
              <w:rPr>
                <w:color w:val="auto"/>
                <w:sz w:val="24"/>
                <w:szCs w:val="24"/>
                <w:highlight w:val="none"/>
              </w:rPr>
            </w:pP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环卫设备设施处置办法：</w:t>
            </w:r>
          </w:p>
          <w:p w14:paraId="5861330B">
            <w:pPr>
              <w:spacing w:line="360" w:lineRule="auto"/>
              <w:ind w:firstLine="240" w:firstLineChars="100"/>
              <w:rPr>
                <w:color w:val="auto"/>
                <w:sz w:val="24"/>
                <w:szCs w:val="24"/>
                <w:highlight w:val="none"/>
              </w:rPr>
            </w:pPr>
            <w:r>
              <w:rPr>
                <w:rFonts w:hint="eastAsia"/>
                <w:color w:val="auto"/>
                <w:sz w:val="24"/>
                <w:szCs w:val="24"/>
                <w:highlight w:val="none"/>
                <w:lang w:val="en-US" w:eastAsia="zh-CN"/>
              </w:rPr>
              <w:t xml:space="preserve">7.1 </w:t>
            </w:r>
            <w:r>
              <w:rPr>
                <w:color w:val="auto"/>
                <w:sz w:val="24"/>
                <w:szCs w:val="24"/>
                <w:highlight w:val="none"/>
              </w:rPr>
              <w:t>环卫目前管理压缩站场地生产车间无偿提供中标人使用。中标人不得擅自改变用途或改造结构。</w:t>
            </w:r>
          </w:p>
          <w:p w14:paraId="32D6B2EE">
            <w:pPr>
              <w:spacing w:line="360" w:lineRule="auto"/>
              <w:ind w:firstLine="240" w:firstLineChars="100"/>
              <w:jc w:val="left"/>
              <w:rPr>
                <w:color w:val="auto"/>
                <w:sz w:val="24"/>
                <w:szCs w:val="24"/>
                <w:highlight w:val="none"/>
              </w:rPr>
            </w:pPr>
            <w:r>
              <w:rPr>
                <w:rFonts w:hint="eastAsia"/>
                <w:color w:val="auto"/>
                <w:sz w:val="24"/>
                <w:szCs w:val="24"/>
                <w:highlight w:val="none"/>
                <w:lang w:val="en-US" w:eastAsia="zh-CN"/>
              </w:rPr>
              <w:t xml:space="preserve">7.2 </w:t>
            </w:r>
            <w:r>
              <w:rPr>
                <w:color w:val="auto"/>
                <w:sz w:val="24"/>
                <w:szCs w:val="24"/>
                <w:highlight w:val="none"/>
              </w:rPr>
              <w:t>压缩站设备不可自行拆除，保证站内基础设施正常运作</w:t>
            </w:r>
            <w:r>
              <w:rPr>
                <w:rFonts w:hint="eastAsia"/>
                <w:color w:val="auto"/>
                <w:sz w:val="24"/>
                <w:szCs w:val="24"/>
                <w:highlight w:val="none"/>
                <w:lang w:val="en-US" w:eastAsia="zh-CN"/>
              </w:rPr>
              <w:t>和</w:t>
            </w:r>
            <w:r>
              <w:rPr>
                <w:color w:val="auto"/>
                <w:sz w:val="24"/>
                <w:szCs w:val="24"/>
                <w:highlight w:val="none"/>
              </w:rPr>
              <w:t>满足生产需要，并与下一个中标人协商解决。</w:t>
            </w:r>
          </w:p>
        </w:tc>
      </w:tr>
      <w:tr w14:paraId="5DC25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69D52E5C">
            <w:pPr>
              <w:spacing w:line="360" w:lineRule="auto"/>
              <w:rPr>
                <w:color w:val="auto"/>
                <w:sz w:val="24"/>
                <w:szCs w:val="24"/>
                <w:highlight w:val="none"/>
              </w:rPr>
            </w:pPr>
          </w:p>
        </w:tc>
        <w:tc>
          <w:tcPr>
            <w:tcW w:w="630" w:type="dxa"/>
          </w:tcPr>
          <w:p w14:paraId="0A9F3DB4">
            <w:pPr>
              <w:spacing w:line="360" w:lineRule="auto"/>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8</w:t>
            </w:r>
          </w:p>
        </w:tc>
        <w:tc>
          <w:tcPr>
            <w:tcW w:w="8328" w:type="dxa"/>
          </w:tcPr>
          <w:p w14:paraId="74D7EAAD">
            <w:pPr>
              <w:pStyle w:val="25"/>
              <w:spacing w:line="360" w:lineRule="auto"/>
              <w:jc w:val="left"/>
              <w:rPr>
                <w:color w:val="auto"/>
                <w:sz w:val="24"/>
                <w:szCs w:val="24"/>
                <w:highlight w:val="none"/>
              </w:rPr>
            </w:pPr>
            <w:r>
              <w:rPr>
                <w:b/>
                <w:color w:val="auto"/>
                <w:sz w:val="24"/>
                <w:szCs w:val="24"/>
                <w:highlight w:val="none"/>
              </w:rPr>
              <w:t>环卫作业安全要求</w:t>
            </w:r>
          </w:p>
          <w:p w14:paraId="232B7F8E">
            <w:pPr>
              <w:pStyle w:val="25"/>
              <w:spacing w:line="360" w:lineRule="auto"/>
              <w:jc w:val="left"/>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作业期间必须按规定穿着统一的环卫工作服、反光衣（带）等，工作服、反光衣（带）由中标人负责投入。把保洁车放置在过往车辆行驶方向前方20米以外，作为防护提示设施，随走随设。</w:t>
            </w:r>
          </w:p>
          <w:p w14:paraId="316E631A">
            <w:pPr>
              <w:pStyle w:val="25"/>
              <w:spacing w:line="360" w:lineRule="auto"/>
              <w:jc w:val="left"/>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中标人应建立健全安全生产管理制度，落实安全生产责任人，切实执行安全生产规程，服务期间出现的安全事故一概由中标人承担，与采购人无关。</w:t>
            </w:r>
          </w:p>
          <w:p w14:paraId="3AD93D7D">
            <w:pPr>
              <w:pStyle w:val="25"/>
              <w:spacing w:line="360" w:lineRule="auto"/>
              <w:jc w:val="left"/>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道路作业应合理安排作业时间和方式；清扫机动车道、绿化带、分隔栏时要设置醒目的警示标志，同时做好安全防护工作；道路大面积污染需要集中清扫时，需联系相关行政主管部门的配合。</w:t>
            </w:r>
          </w:p>
          <w:p w14:paraId="0B9B9CC7">
            <w:pPr>
              <w:pStyle w:val="25"/>
              <w:spacing w:line="360" w:lineRule="auto"/>
              <w:jc w:val="left"/>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环卫作业车辆驾驶员必须持证上岗并遵守交通规则，礼让行车，注意行人的安全，不得违章停放，不得超限行车。</w:t>
            </w:r>
          </w:p>
          <w:p w14:paraId="4CDD2570">
            <w:pPr>
              <w:pStyle w:val="25"/>
              <w:spacing w:line="360" w:lineRule="auto"/>
              <w:jc w:val="left"/>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环卫工人上岗作业时，随时注意来往车辆，遇到车辆行驶速度过快和遇到大风、大雾天气时，不得强行通行和作业。严禁不顾个人安危强行捡拾快车道不安全地段上的漂浮物。</w:t>
            </w:r>
          </w:p>
          <w:p w14:paraId="503397C3">
            <w:pPr>
              <w:pStyle w:val="25"/>
              <w:spacing w:line="360" w:lineRule="auto"/>
              <w:jc w:val="left"/>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环卫工人上岗作业时，必须熟知安全知识和技能，做到熟记于心，问之即答。</w:t>
            </w:r>
          </w:p>
        </w:tc>
      </w:tr>
      <w:tr w14:paraId="497D1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5944D55B">
            <w:pPr>
              <w:spacing w:line="360" w:lineRule="auto"/>
              <w:rPr>
                <w:color w:val="auto"/>
                <w:sz w:val="24"/>
                <w:szCs w:val="24"/>
                <w:highlight w:val="none"/>
              </w:rPr>
            </w:pPr>
          </w:p>
        </w:tc>
        <w:tc>
          <w:tcPr>
            <w:tcW w:w="630" w:type="dxa"/>
          </w:tcPr>
          <w:p w14:paraId="58EAB90E">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9</w:t>
            </w:r>
          </w:p>
        </w:tc>
        <w:tc>
          <w:tcPr>
            <w:tcW w:w="8328" w:type="dxa"/>
          </w:tcPr>
          <w:p w14:paraId="25E68324">
            <w:pPr>
              <w:pStyle w:val="25"/>
              <w:spacing w:line="360" w:lineRule="auto"/>
              <w:jc w:val="both"/>
              <w:rPr>
                <w:color w:val="auto"/>
                <w:sz w:val="24"/>
                <w:szCs w:val="24"/>
                <w:highlight w:val="none"/>
              </w:rPr>
            </w:pPr>
            <w:r>
              <w:rPr>
                <w:b/>
                <w:color w:val="auto"/>
                <w:sz w:val="24"/>
                <w:szCs w:val="24"/>
                <w:highlight w:val="none"/>
              </w:rPr>
              <w:t>项目应急措施及机制</w:t>
            </w:r>
          </w:p>
          <w:p w14:paraId="72CCFDDA">
            <w:pPr>
              <w:pStyle w:val="25"/>
              <w:spacing w:line="360" w:lineRule="auto"/>
              <w:jc w:val="both"/>
              <w:rPr>
                <w:color w:val="auto"/>
                <w:sz w:val="24"/>
                <w:szCs w:val="24"/>
                <w:highlight w:val="none"/>
              </w:rPr>
            </w:pPr>
            <w:r>
              <w:rPr>
                <w:color w:val="auto"/>
                <w:sz w:val="24"/>
                <w:szCs w:val="24"/>
                <w:highlight w:val="none"/>
              </w:rPr>
              <w:t>1、基本要求</w:t>
            </w:r>
          </w:p>
          <w:p w14:paraId="3AEA04BA">
            <w:pPr>
              <w:pStyle w:val="25"/>
              <w:spacing w:line="360" w:lineRule="auto"/>
              <w:jc w:val="both"/>
              <w:rPr>
                <w:color w:val="auto"/>
                <w:sz w:val="24"/>
                <w:szCs w:val="24"/>
                <w:highlight w:val="none"/>
              </w:rPr>
            </w:pPr>
            <w:r>
              <w:rPr>
                <w:color w:val="auto"/>
                <w:sz w:val="24"/>
                <w:szCs w:val="24"/>
                <w:highlight w:val="none"/>
              </w:rPr>
              <w:t>运营期间，中标人在应急管理及危险作业管理方面须做到：</w:t>
            </w:r>
          </w:p>
          <w:p w14:paraId="626D2713">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1.1 </w:t>
            </w:r>
            <w:r>
              <w:rPr>
                <w:color w:val="auto"/>
                <w:sz w:val="24"/>
                <w:szCs w:val="24"/>
                <w:highlight w:val="none"/>
              </w:rPr>
              <w:t>应建立健全突发事件应急处置制度，组建相应管理机构，制定应急预案及应急程序，落实专项费用、专职（或兼职）人员。</w:t>
            </w:r>
          </w:p>
          <w:p w14:paraId="186FE129">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1.2</w:t>
            </w:r>
            <w:r>
              <w:rPr>
                <w:color w:val="auto"/>
                <w:sz w:val="24"/>
                <w:szCs w:val="24"/>
                <w:highlight w:val="none"/>
              </w:rPr>
              <w:t>应根据实际情况制定安全生产综合应急预案、专项预案及现场处置预案；如综合应急预案、环境专项预案、“三防”工作及现场处置方案等。</w:t>
            </w:r>
          </w:p>
          <w:p w14:paraId="725CAB65">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1.3</w:t>
            </w:r>
            <w:r>
              <w:rPr>
                <w:color w:val="auto"/>
                <w:sz w:val="24"/>
                <w:szCs w:val="24"/>
                <w:highlight w:val="none"/>
              </w:rPr>
              <w:t>应急预案需明确编制预案的目的、原则、编制依据和适用范围等，应建立应急组织机构并明确领导成员及应急救援组成员的职责、权利和义务的职责，提高各应急处置小组的应急处置能力，落实救援相关工作。</w:t>
            </w:r>
          </w:p>
          <w:p w14:paraId="0AE193B5">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1.4</w:t>
            </w:r>
            <w:r>
              <w:rPr>
                <w:color w:val="auto"/>
                <w:sz w:val="24"/>
                <w:szCs w:val="24"/>
                <w:highlight w:val="none"/>
              </w:rPr>
              <w:t>应根据实际特点制定各种应急技术措施，包括：触电、中毒、防汛、关键性生产设备紧急抢修、有毒有害气体泄漏、防火防爆、防自然灾害、防溺水和防高空坠落等应急措施。</w:t>
            </w:r>
          </w:p>
          <w:p w14:paraId="7542FA85">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1.5</w:t>
            </w:r>
            <w:r>
              <w:rPr>
                <w:color w:val="auto"/>
                <w:sz w:val="24"/>
                <w:szCs w:val="24"/>
                <w:highlight w:val="none"/>
              </w:rPr>
              <w:t>应有应急装备物资保障、技术保障、安全防护保障和通信信息保障等。</w:t>
            </w:r>
          </w:p>
          <w:p w14:paraId="3EE620BB">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1.6</w:t>
            </w:r>
            <w:r>
              <w:rPr>
                <w:color w:val="auto"/>
                <w:sz w:val="24"/>
                <w:szCs w:val="24"/>
                <w:highlight w:val="none"/>
              </w:rPr>
              <w:t>定期组织人员进行各项预案的演练工作，演练结束后对实施情况进行评估，撰写评估报告，分析存在的问题，并对应急预案提出修改意见。</w:t>
            </w:r>
          </w:p>
          <w:p w14:paraId="67A71C20">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1.7</w:t>
            </w:r>
            <w:r>
              <w:rPr>
                <w:color w:val="auto"/>
                <w:sz w:val="24"/>
                <w:szCs w:val="24"/>
                <w:highlight w:val="none"/>
              </w:rPr>
              <w:t>定期进行应急预案的演练。演练形式可以采取桌面演练、功能演练、全面演练等方式。</w:t>
            </w:r>
          </w:p>
          <w:p w14:paraId="1E0FFF4E">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1.8</w:t>
            </w:r>
            <w:r>
              <w:rPr>
                <w:color w:val="auto"/>
                <w:sz w:val="24"/>
                <w:szCs w:val="24"/>
                <w:highlight w:val="none"/>
              </w:rPr>
              <w:t>加强日常的安全管理工作，针对季节性、节假日、突发天气等特殊状况进行专项安全检查并做好相应的应急控制措施。</w:t>
            </w:r>
          </w:p>
          <w:p w14:paraId="48097BA6">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1.9</w:t>
            </w:r>
            <w:r>
              <w:rPr>
                <w:color w:val="auto"/>
                <w:sz w:val="24"/>
                <w:szCs w:val="24"/>
                <w:highlight w:val="none"/>
              </w:rPr>
              <w:t>落实领导带班管理制度，节假日及突发状况的值班制度。</w:t>
            </w:r>
          </w:p>
          <w:p w14:paraId="05B081F5">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1.10</w:t>
            </w:r>
            <w:r>
              <w:rPr>
                <w:color w:val="auto"/>
                <w:sz w:val="24"/>
                <w:szCs w:val="24"/>
                <w:highlight w:val="none"/>
              </w:rPr>
              <w:t>制定危险作业安全管理制度，加强有限空间作业管理、临时用电管理等。</w:t>
            </w:r>
          </w:p>
          <w:p w14:paraId="6695F262">
            <w:pPr>
              <w:pStyle w:val="25"/>
              <w:spacing w:line="360" w:lineRule="auto"/>
              <w:jc w:val="both"/>
              <w:rPr>
                <w:color w:val="auto"/>
                <w:sz w:val="24"/>
                <w:szCs w:val="24"/>
                <w:highlight w:val="none"/>
              </w:rPr>
            </w:pPr>
            <w:r>
              <w:rPr>
                <w:color w:val="auto"/>
                <w:sz w:val="24"/>
                <w:szCs w:val="24"/>
                <w:highlight w:val="none"/>
              </w:rPr>
              <w:t>2、具体要求</w:t>
            </w:r>
          </w:p>
          <w:p w14:paraId="6C08B52D">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2.1 </w:t>
            </w:r>
            <w:r>
              <w:rPr>
                <w:color w:val="auto"/>
                <w:sz w:val="24"/>
                <w:szCs w:val="24"/>
                <w:highlight w:val="none"/>
              </w:rPr>
              <w:t>遇有重大活动响应及时，能够有力保证作业人员、设备按时按需到位。</w:t>
            </w:r>
          </w:p>
          <w:p w14:paraId="559D0365">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2.2 </w:t>
            </w:r>
            <w:r>
              <w:rPr>
                <w:color w:val="auto"/>
                <w:sz w:val="24"/>
                <w:szCs w:val="24"/>
                <w:highlight w:val="none"/>
              </w:rPr>
              <w:t>环卫作业质量达到活动发生地所对应的各服务项目的相应质量标准。</w:t>
            </w:r>
          </w:p>
          <w:p w14:paraId="6B740DA6">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2.3</w:t>
            </w:r>
            <w:r>
              <w:rPr>
                <w:color w:val="auto"/>
                <w:sz w:val="24"/>
                <w:szCs w:val="24"/>
                <w:highlight w:val="none"/>
              </w:rPr>
              <w:t>遇有特殊情况需要适当提高环卫服务质量标准的，能够按需完成。</w:t>
            </w:r>
          </w:p>
          <w:p w14:paraId="50D56A7E">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2.4</w:t>
            </w:r>
            <w:r>
              <w:rPr>
                <w:color w:val="auto"/>
                <w:sz w:val="24"/>
                <w:szCs w:val="24"/>
                <w:highlight w:val="none"/>
              </w:rPr>
              <w:t>应采购人要求、因临时或应急原因，包括但不限于城区下水道口垃圾清理、应上级检查要求、台风洪水灾后处置等，无条件服从作业要求。</w:t>
            </w:r>
          </w:p>
          <w:p w14:paraId="4A7AB0C0">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2.5</w:t>
            </w:r>
            <w:r>
              <w:rPr>
                <w:color w:val="auto"/>
                <w:sz w:val="24"/>
                <w:szCs w:val="24"/>
                <w:highlight w:val="none"/>
              </w:rPr>
              <w:t>台风、大风及暴雨应急作业要求</w:t>
            </w:r>
          </w:p>
          <w:p w14:paraId="39313ED0">
            <w:pPr>
              <w:pStyle w:val="25"/>
              <w:spacing w:line="360" w:lineRule="auto"/>
              <w:jc w:val="both"/>
              <w:rPr>
                <w:color w:val="auto"/>
                <w:sz w:val="24"/>
                <w:szCs w:val="24"/>
                <w:highlight w:val="none"/>
              </w:rPr>
            </w:pPr>
            <w:r>
              <w:rPr>
                <w:color w:val="auto"/>
                <w:sz w:val="24"/>
                <w:szCs w:val="24"/>
                <w:highlight w:val="none"/>
              </w:rPr>
              <w:t>中标人应在台风季节来临前完成各种机械设备、车辆的维修维护工作，确保设备正常运行。提前做好极端天气后路段清理准备工作，并将设备、车辆进入待命状态，确保雨后准时到位。在极端天气过程中要同</w:t>
            </w:r>
            <w:r>
              <w:rPr>
                <w:rFonts w:hint="eastAsia"/>
                <w:color w:val="auto"/>
                <w:sz w:val="24"/>
                <w:szCs w:val="24"/>
                <w:highlight w:val="none"/>
                <w:lang w:val="en-US" w:eastAsia="zh-CN"/>
              </w:rPr>
              <w:t>采购人</w:t>
            </w:r>
            <w:r>
              <w:rPr>
                <w:color w:val="auto"/>
                <w:sz w:val="24"/>
                <w:szCs w:val="24"/>
                <w:highlight w:val="none"/>
              </w:rPr>
              <w:t>保持联系随时掌握天气动态，在降雨停止后1小时内组织工作人员到达管辖区内各主街道和重要路段进行环境卫生综合整治工作，在2小时内完成路面垃圾、淤泥清扫作业，确保道路顺畅，并在4小时内完成垃圾、淤泥清运工作。如不能及时清运，应在指定的转运点堆积，24小时内完成清运。夜间降雨时，应在次日早8时前完成主干道和重点地段清扫作业。</w:t>
            </w:r>
          </w:p>
          <w:p w14:paraId="57660A6D">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2.6</w:t>
            </w:r>
            <w:r>
              <w:rPr>
                <w:color w:val="auto"/>
                <w:sz w:val="24"/>
                <w:szCs w:val="24"/>
                <w:highlight w:val="none"/>
              </w:rPr>
              <w:t>应对各种检查、创建、重大活动期间的应急作业要求。</w:t>
            </w:r>
          </w:p>
          <w:p w14:paraId="62018A99">
            <w:pPr>
              <w:pStyle w:val="25"/>
              <w:spacing w:line="360" w:lineRule="auto"/>
              <w:ind w:firstLine="240" w:firstLineChars="100"/>
              <w:jc w:val="both"/>
              <w:rPr>
                <w:color w:val="auto"/>
                <w:sz w:val="24"/>
                <w:szCs w:val="24"/>
                <w:highlight w:val="none"/>
              </w:rPr>
            </w:pPr>
            <w:r>
              <w:rPr>
                <w:rFonts w:hint="default" w:ascii="Calibri" w:hAnsi="Calibri" w:cs="Calibri"/>
                <w:color w:val="auto"/>
                <w:sz w:val="24"/>
                <w:szCs w:val="24"/>
                <w:highlight w:val="none"/>
              </w:rPr>
              <w:t>①</w:t>
            </w:r>
            <w:r>
              <w:rPr>
                <w:color w:val="auto"/>
                <w:sz w:val="24"/>
                <w:szCs w:val="24"/>
                <w:highlight w:val="none"/>
              </w:rPr>
              <w:t>中标人须成立相关工作领导小组，以便有组织、有计划地配合迎接各种检查、创建、重大活动期间的检查工作。</w:t>
            </w:r>
          </w:p>
          <w:p w14:paraId="1E95A612">
            <w:pPr>
              <w:pStyle w:val="25"/>
              <w:spacing w:line="360" w:lineRule="auto"/>
              <w:ind w:firstLine="240" w:firstLineChars="100"/>
              <w:jc w:val="both"/>
              <w:rPr>
                <w:color w:val="auto"/>
                <w:sz w:val="24"/>
                <w:szCs w:val="24"/>
                <w:highlight w:val="none"/>
              </w:rPr>
            </w:pPr>
            <w:r>
              <w:rPr>
                <w:rFonts w:hint="default" w:ascii="Calibri" w:hAnsi="Calibri" w:cs="Calibri"/>
                <w:color w:val="auto"/>
                <w:sz w:val="24"/>
                <w:szCs w:val="24"/>
                <w:highlight w:val="none"/>
              </w:rPr>
              <w:t>②</w:t>
            </w:r>
            <w:r>
              <w:rPr>
                <w:color w:val="auto"/>
                <w:sz w:val="24"/>
                <w:szCs w:val="24"/>
                <w:highlight w:val="none"/>
              </w:rPr>
              <w:t>中标人须组建一支突击队伍随时待命，以便于各种检查、创建、重大活动时进行指挥和调配，确保万无一失地开展活动。</w:t>
            </w:r>
          </w:p>
          <w:p w14:paraId="46723F1F">
            <w:pPr>
              <w:pStyle w:val="25"/>
              <w:spacing w:line="360" w:lineRule="auto"/>
              <w:ind w:firstLine="240" w:firstLineChars="100"/>
              <w:jc w:val="both"/>
              <w:rPr>
                <w:color w:val="auto"/>
                <w:sz w:val="24"/>
                <w:szCs w:val="24"/>
                <w:highlight w:val="none"/>
              </w:rPr>
            </w:pPr>
            <w:r>
              <w:rPr>
                <w:rFonts w:hint="default" w:ascii="Calibri" w:hAnsi="Calibri" w:cs="Calibri"/>
                <w:color w:val="auto"/>
                <w:sz w:val="24"/>
                <w:szCs w:val="24"/>
                <w:highlight w:val="none"/>
              </w:rPr>
              <w:t>③</w:t>
            </w:r>
            <w:r>
              <w:rPr>
                <w:color w:val="auto"/>
                <w:sz w:val="24"/>
                <w:szCs w:val="24"/>
                <w:highlight w:val="none"/>
              </w:rPr>
              <w:t>中标人须配备足够的作业车辆及设备、人员，及时保质、保量地完成临时性、突发性任务。</w:t>
            </w:r>
          </w:p>
          <w:p w14:paraId="20ABD1C5">
            <w:pPr>
              <w:pStyle w:val="25"/>
              <w:spacing w:line="360" w:lineRule="auto"/>
              <w:ind w:firstLine="240" w:firstLineChars="100"/>
              <w:jc w:val="both"/>
              <w:rPr>
                <w:color w:val="auto"/>
                <w:sz w:val="24"/>
                <w:szCs w:val="24"/>
                <w:highlight w:val="none"/>
              </w:rPr>
            </w:pPr>
            <w:r>
              <w:rPr>
                <w:rFonts w:hint="eastAsia" w:ascii="黑体" w:hAnsi="黑体" w:eastAsia="黑体" w:cs="黑体"/>
                <w:color w:val="auto"/>
                <w:sz w:val="24"/>
                <w:szCs w:val="24"/>
                <w:highlight w:val="none"/>
              </w:rPr>
              <w:t>④</w:t>
            </w:r>
            <w:r>
              <w:rPr>
                <w:color w:val="auto"/>
                <w:sz w:val="24"/>
                <w:szCs w:val="24"/>
                <w:highlight w:val="none"/>
              </w:rPr>
              <w:t>相关人员在接到检查通知后，应立即向领导汇报，同时要求各岗位人员做好相应准备工作。</w:t>
            </w:r>
          </w:p>
          <w:p w14:paraId="40ABAB85">
            <w:pPr>
              <w:pStyle w:val="25"/>
              <w:spacing w:line="360" w:lineRule="auto"/>
              <w:ind w:firstLine="240" w:firstLineChars="100"/>
              <w:jc w:val="both"/>
              <w:rPr>
                <w:color w:val="auto"/>
                <w:sz w:val="24"/>
                <w:szCs w:val="24"/>
                <w:highlight w:val="none"/>
              </w:rPr>
            </w:pPr>
            <w:r>
              <w:rPr>
                <w:rFonts w:hint="eastAsia" w:ascii="Calibri" w:hAnsi="Calibri" w:cs="Calibri"/>
                <w:color w:val="auto"/>
                <w:sz w:val="24"/>
                <w:szCs w:val="24"/>
                <w:highlight w:val="none"/>
              </w:rPr>
              <w:t>⑤</w:t>
            </w:r>
            <w:r>
              <w:rPr>
                <w:color w:val="auto"/>
                <w:sz w:val="24"/>
                <w:szCs w:val="24"/>
                <w:highlight w:val="none"/>
              </w:rPr>
              <w:t>中标人在获取准确信息后，应有组织、有计划安排人员、设备等工作。</w:t>
            </w:r>
          </w:p>
          <w:p w14:paraId="5505CC83">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2.7</w:t>
            </w:r>
            <w:r>
              <w:rPr>
                <w:color w:val="auto"/>
                <w:sz w:val="24"/>
                <w:szCs w:val="24"/>
                <w:highlight w:val="none"/>
              </w:rPr>
              <w:t>应急任务涉及文明城市、卫生城市创建及复审等工作的，中标单位要无条件配合。</w:t>
            </w:r>
          </w:p>
          <w:p w14:paraId="60887674">
            <w:pPr>
              <w:pStyle w:val="25"/>
              <w:spacing w:line="360" w:lineRule="auto"/>
              <w:jc w:val="both"/>
              <w:rPr>
                <w:color w:val="auto"/>
                <w:sz w:val="24"/>
                <w:szCs w:val="24"/>
                <w:highlight w:val="none"/>
              </w:rPr>
            </w:pPr>
            <w:r>
              <w:rPr>
                <w:color w:val="auto"/>
                <w:sz w:val="24"/>
                <w:szCs w:val="24"/>
                <w:highlight w:val="none"/>
              </w:rPr>
              <w:t>3、 环卫应急作业</w:t>
            </w:r>
          </w:p>
          <w:p w14:paraId="1D6A0C46">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3.1 </w:t>
            </w:r>
            <w:r>
              <w:rPr>
                <w:color w:val="auto"/>
                <w:sz w:val="24"/>
                <w:szCs w:val="24"/>
                <w:highlight w:val="none"/>
              </w:rPr>
              <w:t>中标人应为本项目建立健全的环卫应急作业机制，服务区域内突发性事件中的环卫清扫保洁工作，中标人要无条件服从采购人环卫应急工作安排，须30分钟内安排环卫机械和工人到现场依时清理完毕。</w:t>
            </w:r>
          </w:p>
          <w:p w14:paraId="3808F9AF">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3.2 </w:t>
            </w:r>
            <w:r>
              <w:rPr>
                <w:color w:val="auto"/>
                <w:sz w:val="24"/>
                <w:szCs w:val="24"/>
                <w:highlight w:val="none"/>
              </w:rPr>
              <w:t>做好采购人布置的临时性、突发性事件、各项检查评比、调研线路保洁、“三重”活动（重大活动、重要节庆、重点时段）、不可抗力自然灾害（如台风、水灾、地震等）等市容环卫工作任务，在规定时间内清理完毕。</w:t>
            </w:r>
          </w:p>
          <w:p w14:paraId="02A4EB38">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3.3 </w:t>
            </w:r>
            <w:r>
              <w:rPr>
                <w:rFonts w:hint="eastAsia"/>
                <w:color w:val="auto"/>
                <w:sz w:val="24"/>
                <w:szCs w:val="24"/>
                <w:highlight w:val="none"/>
              </w:rPr>
              <w:t>如遇卫生突击需要或抢险救灾需要，或者上级机关工作部署调动要求，中标人有义务无条件且无偿组织人力物力支援，由此所产生的设备费、人员加班工资由中标人承担</w:t>
            </w:r>
            <w:r>
              <w:rPr>
                <w:color w:val="auto"/>
                <w:sz w:val="24"/>
                <w:szCs w:val="24"/>
                <w:highlight w:val="none"/>
              </w:rPr>
              <w:t>。</w:t>
            </w:r>
          </w:p>
        </w:tc>
      </w:tr>
      <w:tr w14:paraId="7C4E2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767CEE15">
            <w:pPr>
              <w:spacing w:line="360" w:lineRule="auto"/>
              <w:rPr>
                <w:color w:val="auto"/>
                <w:sz w:val="24"/>
                <w:szCs w:val="24"/>
                <w:highlight w:val="none"/>
              </w:rPr>
            </w:pPr>
          </w:p>
        </w:tc>
        <w:tc>
          <w:tcPr>
            <w:tcW w:w="630" w:type="dxa"/>
          </w:tcPr>
          <w:p w14:paraId="47C9E927">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10</w:t>
            </w:r>
          </w:p>
        </w:tc>
        <w:tc>
          <w:tcPr>
            <w:tcW w:w="8328" w:type="dxa"/>
          </w:tcPr>
          <w:p w14:paraId="72F1EC32">
            <w:pPr>
              <w:spacing w:line="360" w:lineRule="auto"/>
              <w:jc w:val="left"/>
              <w:rPr>
                <w:color w:val="auto"/>
                <w:sz w:val="24"/>
                <w:szCs w:val="24"/>
                <w:highlight w:val="none"/>
              </w:rPr>
            </w:pPr>
            <w:r>
              <w:rPr>
                <w:b/>
                <w:color w:val="auto"/>
                <w:sz w:val="24"/>
                <w:szCs w:val="24"/>
                <w:highlight w:val="none"/>
              </w:rPr>
              <w:t>验收标准及考核评分标准</w:t>
            </w:r>
          </w:p>
          <w:p w14:paraId="07B1D8A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（一）由采购人制定普宁市市区环境卫生验评标准，对中标人作业情况进行定期或不定期检查考核，每月根据考核扣分额度核定当月服务费。</w:t>
            </w:r>
          </w:p>
          <w:p w14:paraId="0794533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组织对本采购项目进行全覆盖检查考核，全年无休每天开展日常检查，检查时间必须覆盖各等级道路的规定保洁时段，全面掌握本采购项目规范执行情况和卫生质量状况，并且每月按一定比例抽查部分项目并对日常检查发现的部分问题进行复检。</w:t>
            </w:r>
          </w:p>
          <w:p w14:paraId="669FFD9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三）考核由日常检查和月度检查组成。</w:t>
            </w:r>
          </w:p>
          <w:p w14:paraId="650214C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1.日常检查</w:t>
            </w:r>
          </w:p>
          <w:p w14:paraId="12764E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检查安排。此项由环卫中心</w:t>
            </w:r>
            <w:r>
              <w:rPr>
                <w:rFonts w:hint="eastAsia" w:ascii="宋体" w:hAnsi="宋体" w:eastAsia="宋体" w:cs="宋体"/>
                <w:color w:val="auto"/>
                <w:sz w:val="24"/>
                <w:szCs w:val="24"/>
                <w:highlight w:val="none"/>
                <w:lang w:val="en-US" w:eastAsia="zh-CN"/>
              </w:rPr>
              <w:t>相关股室</w:t>
            </w:r>
            <w:r>
              <w:rPr>
                <w:rFonts w:hint="eastAsia" w:ascii="宋体" w:hAnsi="宋体" w:eastAsia="宋体" w:cs="宋体"/>
                <w:color w:val="auto"/>
                <w:sz w:val="24"/>
                <w:szCs w:val="24"/>
                <w:highlight w:val="none"/>
              </w:rPr>
              <w:t>、环卫所、市容一队、市容二队组织安排。日常检查发现卫生问题立即责成中标人进行整改，并依据《普宁市市区环境卫生验评标准》（见公告附件）进行扣分，按每分300元扣除服务费。</w:t>
            </w:r>
            <w:r>
              <w:rPr>
                <w:rFonts w:hint="eastAsia" w:ascii="宋体" w:hAnsi="宋体" w:eastAsia="宋体" w:cs="宋体"/>
                <w:color w:val="auto"/>
                <w:sz w:val="24"/>
                <w:szCs w:val="24"/>
                <w:highlight w:val="none"/>
                <w:lang w:val="en-US" w:eastAsia="zh-CN"/>
              </w:rPr>
              <w:t>各街道可安排街道办、村、居、社区人员参与巡查并扣分。</w:t>
            </w:r>
          </w:p>
          <w:p w14:paraId="2A93CDA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检查要求。现场检查采取车行与步行相结合，对被检项目进行全覆盖检查。对检查中发现的问题，通知中标人管理人员赴现场确认并处理（20分钟内该区域中标人管理人员无到现场，视为默认处理）。将现场检查获取的相关影像资料保存2个月，以便中标人对以往检查记录和影像资料进行查询。</w:t>
            </w:r>
          </w:p>
          <w:p w14:paraId="357A0C5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2.月度检查</w:t>
            </w:r>
          </w:p>
          <w:p w14:paraId="252E128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检查安排。此项由环卫中心组织安排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属地街道共同参与</w:t>
            </w:r>
            <w:r>
              <w:rPr>
                <w:rFonts w:hint="eastAsia" w:ascii="宋体" w:hAnsi="宋体" w:eastAsia="宋体" w:cs="宋体"/>
                <w:color w:val="auto"/>
                <w:sz w:val="24"/>
                <w:szCs w:val="24"/>
                <w:highlight w:val="none"/>
              </w:rPr>
              <w:t>。适时邀请有关人大代表、政协委员和新闻媒体</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参加，按一定比例（不低于标段面积的10%）进行全面检查。</w:t>
            </w:r>
          </w:p>
          <w:p w14:paraId="02C011D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分数构成。东片区区域由城东、城南环卫所</w:t>
            </w:r>
            <w:r>
              <w:rPr>
                <w:rFonts w:hint="eastAsia" w:ascii="宋体" w:hAnsi="宋体" w:eastAsia="宋体" w:cs="宋体"/>
                <w:color w:val="auto"/>
                <w:sz w:val="24"/>
                <w:szCs w:val="24"/>
                <w:highlight w:val="none"/>
                <w:lang w:val="en-US" w:eastAsia="zh-CN"/>
              </w:rPr>
              <w:t>全部管辖区域和城西环卫所部分管辖区域</w:t>
            </w:r>
            <w:r>
              <w:rPr>
                <w:rFonts w:hint="eastAsia" w:ascii="宋体" w:hAnsi="宋体" w:eastAsia="宋体" w:cs="宋体"/>
                <w:color w:val="auto"/>
                <w:sz w:val="24"/>
                <w:szCs w:val="24"/>
                <w:highlight w:val="none"/>
              </w:rPr>
              <w:t>组成，分数构成如下表：</w:t>
            </w:r>
          </w:p>
          <w:p w14:paraId="184C93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普宁市市区东片区环境卫生月度评分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737"/>
              <w:gridCol w:w="1821"/>
              <w:gridCol w:w="1594"/>
              <w:gridCol w:w="1561"/>
            </w:tblGrid>
            <w:tr w14:paraId="24A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gridSpan w:val="2"/>
                  <w:noWrap w:val="0"/>
                  <w:vAlign w:val="center"/>
                </w:tcPr>
                <w:p w14:paraId="458939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检查单位</w:t>
                  </w:r>
                </w:p>
              </w:tc>
              <w:tc>
                <w:tcPr>
                  <w:tcW w:w="2034" w:type="dxa"/>
                  <w:noWrap w:val="0"/>
                  <w:vAlign w:val="center"/>
                </w:tcPr>
                <w:p w14:paraId="36290F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权重占比（%）</w:t>
                  </w:r>
                </w:p>
              </w:tc>
              <w:tc>
                <w:tcPr>
                  <w:tcW w:w="1734" w:type="dxa"/>
                  <w:noWrap w:val="0"/>
                  <w:vAlign w:val="center"/>
                </w:tcPr>
                <w:p w14:paraId="0ABAEE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分数（分）</w:t>
                  </w:r>
                </w:p>
              </w:tc>
              <w:tc>
                <w:tcPr>
                  <w:tcW w:w="1694" w:type="dxa"/>
                  <w:noWrap w:val="0"/>
                  <w:vAlign w:val="center"/>
                </w:tcPr>
                <w:p w14:paraId="778D55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合计（分）</w:t>
                  </w:r>
                </w:p>
              </w:tc>
            </w:tr>
            <w:tr w14:paraId="0979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gridSpan w:val="2"/>
                  <w:noWrap w:val="0"/>
                  <w:vAlign w:val="center"/>
                </w:tcPr>
                <w:p w14:paraId="34E862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环卫中心</w:t>
                  </w:r>
                </w:p>
              </w:tc>
              <w:tc>
                <w:tcPr>
                  <w:tcW w:w="2034" w:type="dxa"/>
                  <w:noWrap w:val="0"/>
                  <w:vAlign w:val="center"/>
                </w:tcPr>
                <w:p w14:paraId="6CB175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734" w:type="dxa"/>
                  <w:noWrap w:val="0"/>
                  <w:vAlign w:val="center"/>
                </w:tcPr>
                <w:p w14:paraId="0E3781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restart"/>
                  <w:noWrap w:val="0"/>
                  <w:vAlign w:val="center"/>
                </w:tcPr>
                <w:p w14:paraId="733044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C9C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restart"/>
                  <w:noWrap w:val="0"/>
                  <w:vAlign w:val="center"/>
                </w:tcPr>
                <w:p w14:paraId="2D0C7D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环卫所</w:t>
                  </w:r>
                </w:p>
              </w:tc>
              <w:tc>
                <w:tcPr>
                  <w:tcW w:w="2009" w:type="dxa"/>
                  <w:noWrap w:val="0"/>
                  <w:vAlign w:val="center"/>
                </w:tcPr>
                <w:p w14:paraId="2861F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城东所</w:t>
                  </w:r>
                </w:p>
              </w:tc>
              <w:tc>
                <w:tcPr>
                  <w:tcW w:w="2034" w:type="dxa"/>
                  <w:noWrap w:val="0"/>
                  <w:vAlign w:val="center"/>
                </w:tcPr>
                <w:p w14:paraId="44986E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5FAAA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0D3377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0E8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2ECFC5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009" w:type="dxa"/>
                  <w:noWrap w:val="0"/>
                  <w:vAlign w:val="center"/>
                </w:tcPr>
                <w:p w14:paraId="289BAD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城南所</w:t>
                  </w:r>
                </w:p>
              </w:tc>
              <w:tc>
                <w:tcPr>
                  <w:tcW w:w="2034" w:type="dxa"/>
                  <w:noWrap w:val="0"/>
                  <w:vAlign w:val="center"/>
                </w:tcPr>
                <w:p w14:paraId="7224F8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6CFC6A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4C2DA6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A77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288452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009" w:type="dxa"/>
                  <w:noWrap w:val="0"/>
                  <w:vAlign w:val="center"/>
                </w:tcPr>
                <w:p w14:paraId="4E64F4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城西所</w:t>
                  </w:r>
                </w:p>
              </w:tc>
              <w:tc>
                <w:tcPr>
                  <w:tcW w:w="2034" w:type="dxa"/>
                  <w:noWrap w:val="0"/>
                  <w:vAlign w:val="center"/>
                </w:tcPr>
                <w:p w14:paraId="24FA83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5B3EA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2BB11F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355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restart"/>
                  <w:noWrap w:val="0"/>
                  <w:vAlign w:val="center"/>
                </w:tcPr>
                <w:p w14:paraId="169B6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属地街道</w:t>
                  </w:r>
                </w:p>
              </w:tc>
              <w:tc>
                <w:tcPr>
                  <w:tcW w:w="2009" w:type="dxa"/>
                  <w:noWrap w:val="0"/>
                  <w:vAlign w:val="center"/>
                </w:tcPr>
                <w:p w14:paraId="799D82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流沙东街道</w:t>
                  </w:r>
                </w:p>
              </w:tc>
              <w:tc>
                <w:tcPr>
                  <w:tcW w:w="2034" w:type="dxa"/>
                  <w:noWrap w:val="0"/>
                  <w:vAlign w:val="center"/>
                </w:tcPr>
                <w:p w14:paraId="0D4FC5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34" w:type="dxa"/>
                  <w:noWrap w:val="0"/>
                  <w:vAlign w:val="center"/>
                </w:tcPr>
                <w:p w14:paraId="4370DF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79734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2D8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6451E0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009" w:type="dxa"/>
                  <w:noWrap w:val="0"/>
                  <w:vAlign w:val="center"/>
                </w:tcPr>
                <w:p w14:paraId="498BE0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流沙南街道</w:t>
                  </w:r>
                </w:p>
              </w:tc>
              <w:tc>
                <w:tcPr>
                  <w:tcW w:w="2034" w:type="dxa"/>
                  <w:noWrap w:val="0"/>
                  <w:vAlign w:val="center"/>
                </w:tcPr>
                <w:p w14:paraId="66C7B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34" w:type="dxa"/>
                  <w:noWrap w:val="0"/>
                  <w:vAlign w:val="center"/>
                </w:tcPr>
                <w:p w14:paraId="4727A6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0C624F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0F1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243AA0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009" w:type="dxa"/>
                  <w:noWrap w:val="0"/>
                  <w:vAlign w:val="center"/>
                </w:tcPr>
                <w:p w14:paraId="0EE9FF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流沙西街道</w:t>
                  </w:r>
                </w:p>
              </w:tc>
              <w:tc>
                <w:tcPr>
                  <w:tcW w:w="2034" w:type="dxa"/>
                  <w:noWrap w:val="0"/>
                  <w:vAlign w:val="center"/>
                </w:tcPr>
                <w:p w14:paraId="3ED34E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734" w:type="dxa"/>
                  <w:noWrap w:val="0"/>
                  <w:vAlign w:val="center"/>
                </w:tcPr>
                <w:p w14:paraId="7D99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17176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60A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337B94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009" w:type="dxa"/>
                  <w:noWrap w:val="0"/>
                  <w:vAlign w:val="center"/>
                </w:tcPr>
                <w:p w14:paraId="5FB290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大南山街道</w:t>
                  </w:r>
                </w:p>
              </w:tc>
              <w:tc>
                <w:tcPr>
                  <w:tcW w:w="2034" w:type="dxa"/>
                  <w:noWrap w:val="0"/>
                  <w:vAlign w:val="center"/>
                </w:tcPr>
                <w:p w14:paraId="42C6B2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34" w:type="dxa"/>
                  <w:noWrap w:val="0"/>
                  <w:vAlign w:val="center"/>
                </w:tcPr>
                <w:p w14:paraId="0E944B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677A13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4A8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gridSpan w:val="2"/>
                  <w:noWrap w:val="0"/>
                  <w:vAlign w:val="center"/>
                </w:tcPr>
                <w:p w14:paraId="435EF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公众监督</w:t>
                  </w:r>
                </w:p>
              </w:tc>
              <w:tc>
                <w:tcPr>
                  <w:tcW w:w="2034" w:type="dxa"/>
                  <w:noWrap w:val="0"/>
                  <w:vAlign w:val="center"/>
                </w:tcPr>
                <w:p w14:paraId="735716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1E44CF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4C16D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D3E33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说明：每单项考核评分均采取百分制计分，根据得分权重折算分值后计算</w:t>
            </w:r>
            <w:r>
              <w:rPr>
                <w:rFonts w:hint="eastAsia" w:ascii="宋体" w:hAnsi="宋体" w:eastAsia="宋体" w:cs="宋体"/>
                <w:color w:val="auto"/>
                <w:sz w:val="24"/>
                <w:szCs w:val="24"/>
                <w:highlight w:val="none"/>
                <w:lang w:val="en-US" w:eastAsia="zh-CN"/>
              </w:rPr>
              <w:t>合计月度评分</w:t>
            </w:r>
            <w:r>
              <w:rPr>
                <w:rFonts w:hint="eastAsia" w:ascii="宋体" w:hAnsi="宋体" w:eastAsia="宋体" w:cs="宋体"/>
                <w:color w:val="auto"/>
                <w:sz w:val="24"/>
                <w:szCs w:val="24"/>
                <w:highlight w:val="none"/>
              </w:rPr>
              <w:t>。</w:t>
            </w:r>
          </w:p>
          <w:p w14:paraId="20B211F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评分标准。月度评分均按100分制进行扣分。根据保洁作业情况对应分数为</w:t>
            </w:r>
            <w:r>
              <w:rPr>
                <w:rFonts w:hint="eastAsia" w:ascii="宋体" w:hAnsi="宋体" w:eastAsia="宋体" w:cs="宋体"/>
                <w:color w:val="auto"/>
                <w:sz w:val="24"/>
                <w:szCs w:val="24"/>
                <w:highlight w:val="none"/>
                <w:lang w:eastAsia="zh-CN"/>
              </w:rPr>
              <w:t>：</w:t>
            </w:r>
          </w:p>
          <w:p w14:paraId="5D6649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至95分（级别“好”）：服务区域道路、街巷整体干净整洁，无明显杂物；公共区域均无垃圾积存；交通隔离栏洁净无污渍、呈现本色；沿街墙面无牛皮癣及乱张贴、乱涂画；机扫、洒水、冲洗和垃圾运输等机械作业严格按约定频次、路线执行，运作有序到位。</w:t>
            </w:r>
          </w:p>
          <w:p w14:paraId="2BFADC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分至90分（级别“合格”）：服务区域道路、街巷基本干净整洁，偶有零星杂物且能及时清理；公共区域无明显垃圾积存；交通隔离栏有少量轻微污渍，不影响整体观感；沿街墙面无明显牛皮癣，零星小广告能及时清除；机扫、洒水、冲洗和垃圾运输等机械作业运作基本有序，无重大频次缺失或路线遗漏。</w:t>
            </w:r>
          </w:p>
          <w:p w14:paraId="372006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分至85分（级别“基本合格”）：服务区域道路、街巷整体整洁度一般，存在一定的散落垃圾；公共区域有局部垃圾积存；交通隔离栏有多处污渍，部分区域未能呈现本色；沿街墙面有少量明显牛皮癣，清理不够及时；机扫、洒水、冲洗和垃圾运输等机械作业存在个别频次缺失或路线遗漏，运作基本达标。</w:t>
            </w:r>
          </w:p>
          <w:p w14:paraId="25704A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分以下（级别“不合格”）：保洁道路、街巷不少于2天无普扫，漏扫严重，脏乱差现象突出；公共区域有明显垃圾积存；交通隔离栏污渍严重，大面积未能呈现本色；沿街墙面有较多明显牛皮癣，清理不彻底；机扫、洒水、冲洗和垃圾运输等机械作业运作无序，存在多次频次缺失、路线遗漏或违规操作。</w:t>
            </w:r>
          </w:p>
          <w:p w14:paraId="342AEE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如有下列两种情况之一，月度评分不得高于90分：①本片区的居民区（</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平房区域）超过10%面积未普扫；②公厕无及时冲洗、有明显异味。</w:t>
            </w:r>
          </w:p>
          <w:p w14:paraId="60BA76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如有下列两种情况之一，月度评分不得高于85分：①本片区的居民区（</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平房区域）超过15%面积未普扫；②公厕有恶臭气味。</w:t>
            </w:r>
          </w:p>
          <w:p w14:paraId="0146D24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因中标人环卫作业工作落实不到位导致采购人在上级会议或新闻媒体曝光中进行公开检讨的，每次在月度评分中扣2分。</w:t>
            </w:r>
          </w:p>
          <w:p w14:paraId="0720161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分数运用。环卫中心组织的月度检查对环卫所区域进行督查评分后，同时将视情况对该所管理台账、日常检查、月度检查扣分情况进行督查、纠正规范。</w:t>
            </w:r>
          </w:p>
          <w:p w14:paraId="68E2707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公众监督。对新闻媒体曝光、市民投诉的问题，经核实属中标人责任的，由采购人在最短时间内通知中标人一同到现场进行处理。每宗有效投诉在月度评分中的公众监督扣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如果公众监督10分扣完，则在得分中继续扣除。</w:t>
            </w:r>
          </w:p>
          <w:p w14:paraId="07AA4AE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计分办法。采购人每月对中标人根据考核扣分额度核定当月服务费，所扣款项由上述日常检查和月度检查所扣款组成。东片区当月月度评分低于95分的，95——90分（含90分）</w:t>
            </w:r>
            <w:r>
              <w:rPr>
                <w:rFonts w:hint="eastAsia" w:ascii="宋体" w:hAnsi="宋体" w:eastAsia="宋体" w:cs="宋体"/>
                <w:color w:val="auto"/>
                <w:sz w:val="24"/>
                <w:szCs w:val="24"/>
                <w:highlight w:val="none"/>
                <w:lang w:val="en-US" w:eastAsia="zh-CN"/>
              </w:rPr>
              <w:t>的部分</w:t>
            </w:r>
            <w:r>
              <w:rPr>
                <w:rFonts w:hint="eastAsia" w:ascii="宋体" w:hAnsi="宋体" w:eastAsia="宋体" w:cs="宋体"/>
                <w:color w:val="auto"/>
                <w:sz w:val="24"/>
                <w:szCs w:val="24"/>
                <w:highlight w:val="none"/>
              </w:rPr>
              <w:t>每分扣1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万元，90——85分（含85分）</w:t>
            </w:r>
            <w:r>
              <w:rPr>
                <w:rFonts w:hint="eastAsia" w:ascii="宋体" w:hAnsi="宋体" w:eastAsia="宋体" w:cs="宋体"/>
                <w:color w:val="auto"/>
                <w:sz w:val="24"/>
                <w:szCs w:val="24"/>
                <w:highlight w:val="none"/>
                <w:lang w:val="en-US" w:eastAsia="zh-CN"/>
              </w:rPr>
              <w:t>的部分</w:t>
            </w:r>
            <w:r>
              <w:rPr>
                <w:rFonts w:hint="eastAsia" w:ascii="宋体" w:hAnsi="宋体" w:eastAsia="宋体" w:cs="宋体"/>
                <w:color w:val="auto"/>
                <w:sz w:val="24"/>
                <w:szCs w:val="24"/>
                <w:highlight w:val="none"/>
              </w:rPr>
              <w:t>每分扣</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万元，低于85分</w:t>
            </w:r>
            <w:r>
              <w:rPr>
                <w:rFonts w:hint="eastAsia" w:ascii="宋体" w:hAnsi="宋体" w:eastAsia="宋体" w:cs="宋体"/>
                <w:color w:val="auto"/>
                <w:sz w:val="24"/>
                <w:szCs w:val="24"/>
                <w:highlight w:val="none"/>
                <w:lang w:val="en-US" w:eastAsia="zh-CN"/>
              </w:rPr>
              <w:t>的部分</w:t>
            </w:r>
            <w:r>
              <w:rPr>
                <w:rFonts w:hint="eastAsia" w:ascii="宋体" w:hAnsi="宋体" w:eastAsia="宋体" w:cs="宋体"/>
                <w:color w:val="auto"/>
                <w:sz w:val="24"/>
                <w:szCs w:val="24"/>
                <w:highlight w:val="none"/>
              </w:rPr>
              <w:t>每分扣</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p>
          <w:p w14:paraId="5CE50F87">
            <w:pPr>
              <w:spacing w:line="360" w:lineRule="auto"/>
              <w:jc w:val="left"/>
              <w:rPr>
                <w:color w:val="auto"/>
                <w:sz w:val="24"/>
                <w:szCs w:val="24"/>
                <w:highlight w:val="none"/>
              </w:rPr>
            </w:pPr>
            <w:r>
              <w:rPr>
                <w:rFonts w:hint="eastAsia" w:ascii="宋体" w:hAnsi="宋体" w:eastAsia="宋体" w:cs="宋体"/>
                <w:color w:val="auto"/>
                <w:sz w:val="24"/>
                <w:szCs w:val="24"/>
                <w:highlight w:val="none"/>
                <w:lang w:val="en-US" w:eastAsia="zh-CN"/>
              </w:rPr>
              <w:t>3. 合同终止。</w:t>
            </w:r>
            <w:r>
              <w:rPr>
                <w:rFonts w:hint="eastAsia" w:ascii="宋体" w:hAnsi="宋体" w:eastAsia="宋体" w:cs="宋体"/>
                <w:color w:val="auto"/>
                <w:sz w:val="24"/>
                <w:szCs w:val="24"/>
                <w:highlight w:val="none"/>
                <w:lang w:eastAsia="zh-CN"/>
              </w:rPr>
              <w:t>任意连续三个月的</w:t>
            </w:r>
            <w:r>
              <w:rPr>
                <w:rFonts w:hint="eastAsia" w:ascii="宋体" w:hAnsi="宋体" w:eastAsia="宋体" w:cs="宋体"/>
                <w:color w:val="auto"/>
                <w:sz w:val="24"/>
                <w:szCs w:val="24"/>
                <w:highlight w:val="none"/>
                <w:lang w:val="en-US" w:eastAsia="zh-CN"/>
              </w:rPr>
              <w:t>月度扣款</w:t>
            </w:r>
            <w:r>
              <w:rPr>
                <w:rFonts w:hint="eastAsia" w:ascii="宋体" w:hAnsi="宋体" w:eastAsia="宋体" w:cs="宋体"/>
                <w:color w:val="auto"/>
                <w:sz w:val="24"/>
                <w:szCs w:val="24"/>
                <w:highlight w:val="none"/>
                <w:lang w:eastAsia="zh-CN"/>
              </w:rPr>
              <w:t>中，每月扣</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lang w:eastAsia="zh-CN"/>
              </w:rPr>
              <w:t>均高于20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终止合同；最近12个连续自然月内，月度扣款中累计出现5次扣款高于20%，终止合同；最近12个连续自然月内，</w:t>
            </w:r>
            <w:r>
              <w:rPr>
                <w:rFonts w:hint="eastAsia" w:ascii="宋体" w:hAnsi="宋体" w:eastAsia="宋体" w:cs="宋体"/>
                <w:color w:val="auto"/>
                <w:sz w:val="24"/>
                <w:szCs w:val="24"/>
                <w:highlight w:val="none"/>
                <w:lang w:eastAsia="zh-CN"/>
              </w:rPr>
              <w:t>月度</w:t>
            </w:r>
            <w:r>
              <w:rPr>
                <w:rFonts w:hint="eastAsia" w:ascii="宋体" w:hAnsi="宋体" w:eastAsia="宋体" w:cs="宋体"/>
                <w:color w:val="auto"/>
                <w:sz w:val="24"/>
                <w:szCs w:val="24"/>
                <w:highlight w:val="none"/>
                <w:lang w:val="en-US" w:eastAsia="zh-CN"/>
              </w:rPr>
              <w:t>扣款</w:t>
            </w:r>
            <w:r>
              <w:rPr>
                <w:rFonts w:hint="eastAsia" w:ascii="宋体" w:hAnsi="宋体" w:eastAsia="宋体" w:cs="宋体"/>
                <w:color w:val="auto"/>
                <w:sz w:val="24"/>
                <w:szCs w:val="24"/>
                <w:highlight w:val="none"/>
                <w:lang w:eastAsia="zh-CN"/>
              </w:rPr>
              <w:t>高于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的情形</w:t>
            </w:r>
            <w:r>
              <w:rPr>
                <w:rFonts w:hint="eastAsia" w:ascii="宋体" w:hAnsi="宋体" w:eastAsia="宋体" w:cs="宋体"/>
                <w:color w:val="auto"/>
                <w:sz w:val="24"/>
                <w:szCs w:val="24"/>
                <w:highlight w:val="none"/>
                <w:lang w:val="en-US" w:eastAsia="zh-CN"/>
              </w:rPr>
              <w:t>第二次出现时，终止合同</w:t>
            </w:r>
            <w:r>
              <w:rPr>
                <w:rFonts w:hint="eastAsia" w:ascii="宋体" w:hAnsi="宋体" w:eastAsia="宋体" w:cs="宋体"/>
                <w:color w:val="auto"/>
                <w:sz w:val="24"/>
                <w:szCs w:val="24"/>
                <w:highlight w:val="none"/>
                <w:lang w:eastAsia="zh-CN"/>
              </w:rPr>
              <w:t>。</w:t>
            </w:r>
          </w:p>
        </w:tc>
      </w:tr>
      <w:tr w14:paraId="0477A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38B551BF">
            <w:pPr>
              <w:spacing w:line="360" w:lineRule="auto"/>
              <w:rPr>
                <w:color w:val="auto"/>
                <w:sz w:val="24"/>
                <w:szCs w:val="24"/>
                <w:highlight w:val="none"/>
              </w:rPr>
            </w:pPr>
          </w:p>
        </w:tc>
        <w:tc>
          <w:tcPr>
            <w:tcW w:w="630" w:type="dxa"/>
          </w:tcPr>
          <w:p w14:paraId="124E2512">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11</w:t>
            </w:r>
          </w:p>
        </w:tc>
        <w:tc>
          <w:tcPr>
            <w:tcW w:w="8328" w:type="dxa"/>
          </w:tcPr>
          <w:p w14:paraId="5126E33E">
            <w:pPr>
              <w:spacing w:line="360" w:lineRule="auto"/>
              <w:jc w:val="left"/>
              <w:rPr>
                <w:color w:val="auto"/>
                <w:sz w:val="24"/>
                <w:szCs w:val="24"/>
                <w:highlight w:val="none"/>
              </w:rPr>
            </w:pPr>
            <w:r>
              <w:rPr>
                <w:b/>
                <w:color w:val="auto"/>
                <w:sz w:val="24"/>
                <w:szCs w:val="24"/>
                <w:highlight w:val="none"/>
              </w:rPr>
              <w:t>承包责任</w:t>
            </w:r>
          </w:p>
          <w:p w14:paraId="6B45AC6F">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中标人应建立完整的服务组织机构，组织机构总人数必须满足承包任务的需求。</w:t>
            </w:r>
          </w:p>
          <w:p w14:paraId="18C7E475">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中标人应严格按有关部门的要求，制定文明作业制度、设备设施使用维护制度、员工管理制度等有关规章制度，按规定经过有关程序后，依法向劳动主管部门备案，并于合同签署之日起30日内提供给采购人备案，采购人有权对中标人的执行情况进行监督。中标人如有违反，采购人可要求中标人进行整改。</w:t>
            </w:r>
          </w:p>
          <w:p w14:paraId="257B89DB">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中标人负责本公司人员的思想教育，专业培训，做到遵纪守法。</w:t>
            </w:r>
          </w:p>
          <w:p w14:paraId="2AE533BC">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在履行合同的过程中，中标人及其员工给他人造成人身伤亡和财产损失的，由中标人自行承担一切责任。</w:t>
            </w:r>
          </w:p>
          <w:p w14:paraId="544BE850">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承包期间，中标人应自行承担因履行合同所产生的债权债务等一切经济责任；自觉遵守各项管理规定，包括但不限于治安、交通、消防、计划生育、劳动法律法规等，中标人因违反上述规定而导致的行政和经济责任，均由中标人自行承担相应责任。由此而给采购人造成损失的，采购人有权向中标人追偿。</w:t>
            </w:r>
          </w:p>
        </w:tc>
      </w:tr>
      <w:tr w14:paraId="57666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1B012F71">
            <w:pPr>
              <w:spacing w:line="360" w:lineRule="auto"/>
              <w:rPr>
                <w:color w:val="auto"/>
                <w:sz w:val="24"/>
                <w:szCs w:val="24"/>
                <w:highlight w:val="none"/>
              </w:rPr>
            </w:pPr>
          </w:p>
        </w:tc>
        <w:tc>
          <w:tcPr>
            <w:tcW w:w="630" w:type="dxa"/>
          </w:tcPr>
          <w:p w14:paraId="03257C44">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12</w:t>
            </w:r>
          </w:p>
        </w:tc>
        <w:tc>
          <w:tcPr>
            <w:tcW w:w="8328" w:type="dxa"/>
          </w:tcPr>
          <w:p w14:paraId="16EC87BB">
            <w:pPr>
              <w:spacing w:line="360" w:lineRule="auto"/>
              <w:jc w:val="left"/>
              <w:rPr>
                <w:color w:val="auto"/>
                <w:sz w:val="24"/>
                <w:szCs w:val="24"/>
                <w:highlight w:val="none"/>
              </w:rPr>
            </w:pPr>
            <w:r>
              <w:rPr>
                <w:b/>
                <w:color w:val="auto"/>
                <w:sz w:val="24"/>
                <w:szCs w:val="24"/>
                <w:highlight w:val="none"/>
              </w:rPr>
              <w:t>违约责任</w:t>
            </w:r>
          </w:p>
          <w:p w14:paraId="55BA7048">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中标人不得将承包项目转包及分包，否则，将视为中标人严重违约，采购人有权单方解除合同，没收全部履约保证金并有权追偿由此给采购人造成的经济损失。</w:t>
            </w:r>
          </w:p>
          <w:p w14:paraId="3F0FD743">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在执行临时性、阶段性任务（含国家、省、市检查，突击整治，重大活动等）期间，中标人的作业质量未能达到规定的要求，采购人可另行安排人员进行作业，并按所发生的实际开支费用的2倍扣减中标人当月的服务费。</w:t>
            </w:r>
          </w:p>
          <w:p w14:paraId="57FF4376">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承包期间，如因中标人违反法律法规及国家有关政策而受到政府有关部门的处分</w:t>
            </w:r>
            <w:r>
              <w:rPr>
                <w:rFonts w:hint="eastAsia"/>
                <w:color w:val="auto"/>
                <w:sz w:val="24"/>
                <w:szCs w:val="24"/>
                <w:highlight w:val="none"/>
                <w:lang w:val="en-US" w:eastAsia="zh-CN"/>
              </w:rPr>
              <w:t>或</w:t>
            </w:r>
            <w:r>
              <w:rPr>
                <w:color w:val="auto"/>
                <w:sz w:val="24"/>
                <w:szCs w:val="24"/>
                <w:highlight w:val="none"/>
              </w:rPr>
              <w:t>处罚的，而无法继续履行合同的，采购人有权单方面解除合同，不承担任何法律责任及经济补偿。</w:t>
            </w:r>
          </w:p>
          <w:p w14:paraId="02713A45">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承包期间，双方必须严格履行合同，在执行过程中，如遇未尽事宜（含政府有关部门的政策、作业标准、作业时间、收费管理调整等），双方可协商解决，并签署书面补充合同。</w:t>
            </w:r>
          </w:p>
        </w:tc>
      </w:tr>
      <w:tr w14:paraId="1B9E8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45C9621B">
            <w:pPr>
              <w:spacing w:line="360" w:lineRule="auto"/>
              <w:rPr>
                <w:color w:val="auto"/>
                <w:sz w:val="24"/>
                <w:szCs w:val="24"/>
                <w:highlight w:val="none"/>
              </w:rPr>
            </w:pPr>
          </w:p>
        </w:tc>
        <w:tc>
          <w:tcPr>
            <w:tcW w:w="630" w:type="dxa"/>
          </w:tcPr>
          <w:p w14:paraId="7FC31564">
            <w:pPr>
              <w:spacing w:line="360" w:lineRule="auto"/>
              <w:rPr>
                <w:rFonts w:hint="eastAsia" w:eastAsiaTheme="minorEastAsia"/>
                <w:color w:val="auto"/>
                <w:sz w:val="24"/>
                <w:szCs w:val="24"/>
                <w:highlight w:val="none"/>
                <w:lang w:eastAsia="zh-CN"/>
              </w:rPr>
            </w:pPr>
            <w:r>
              <w:rPr>
                <w:color w:val="auto"/>
                <w:sz w:val="24"/>
                <w:szCs w:val="24"/>
                <w:highlight w:val="none"/>
              </w:rPr>
              <w:t>1</w:t>
            </w:r>
            <w:r>
              <w:rPr>
                <w:rFonts w:hint="eastAsia"/>
                <w:color w:val="auto"/>
                <w:sz w:val="24"/>
                <w:szCs w:val="24"/>
                <w:highlight w:val="none"/>
                <w:lang w:val="en-US" w:eastAsia="zh-CN"/>
              </w:rPr>
              <w:t>3</w:t>
            </w:r>
          </w:p>
        </w:tc>
        <w:tc>
          <w:tcPr>
            <w:tcW w:w="8328" w:type="dxa"/>
          </w:tcPr>
          <w:p w14:paraId="52E8B2C7">
            <w:pPr>
              <w:spacing w:line="360" w:lineRule="auto"/>
              <w:jc w:val="left"/>
              <w:rPr>
                <w:color w:val="auto"/>
                <w:sz w:val="24"/>
                <w:szCs w:val="24"/>
                <w:highlight w:val="none"/>
              </w:rPr>
            </w:pPr>
            <w:r>
              <w:rPr>
                <w:b/>
                <w:color w:val="auto"/>
                <w:sz w:val="24"/>
                <w:szCs w:val="24"/>
                <w:highlight w:val="none"/>
              </w:rPr>
              <w:t>其他要求</w:t>
            </w:r>
          </w:p>
          <w:p w14:paraId="5FFF50E6">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采购人不提供中标人作业人员的食宿。</w:t>
            </w:r>
          </w:p>
          <w:p w14:paraId="41070472">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中标人工作人员发生违法、违规行为的，所造成一切后果及损失，由中标人承担责任和负责赔偿。</w:t>
            </w:r>
          </w:p>
          <w:p w14:paraId="44E23626">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未经采购人同意，中标人不得对市政道路的设施及布置作变更。</w:t>
            </w:r>
          </w:p>
          <w:p w14:paraId="7F05BC2A">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中标人的组织机构必须完整，组织机构总人数必须满足采购人要求。</w:t>
            </w:r>
          </w:p>
          <w:p w14:paraId="2274CEBE">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中标人全部员工，须符合《</w:t>
            </w:r>
            <w:r>
              <w:rPr>
                <w:rFonts w:hint="eastAsia"/>
                <w:color w:val="auto"/>
                <w:sz w:val="24"/>
                <w:szCs w:val="24"/>
                <w:highlight w:val="none"/>
                <w:lang w:eastAsia="zh-CN"/>
              </w:rPr>
              <w:t>中华人民共和国劳动合同法</w:t>
            </w:r>
            <w:r>
              <w:rPr>
                <w:color w:val="auto"/>
                <w:sz w:val="24"/>
                <w:szCs w:val="24"/>
                <w:highlight w:val="none"/>
              </w:rPr>
              <w:t>》和普宁市政府用工标准要求。</w:t>
            </w:r>
          </w:p>
          <w:p w14:paraId="4E95F6CC">
            <w:pPr>
              <w:spacing w:line="360" w:lineRule="auto"/>
              <w:jc w:val="left"/>
              <w:rPr>
                <w:color w:val="auto"/>
                <w:sz w:val="24"/>
                <w:szCs w:val="24"/>
                <w:highlight w:val="none"/>
              </w:rPr>
            </w:pP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承包期间发生各种事故：包括治安、交通、消防和违反计划生育、劳务纠纷等事件均由中标人承担一切责任。</w:t>
            </w:r>
          </w:p>
          <w:p w14:paraId="21127824">
            <w:pPr>
              <w:spacing w:line="360" w:lineRule="auto"/>
              <w:jc w:val="left"/>
              <w:rPr>
                <w:color w:val="auto"/>
                <w:sz w:val="24"/>
                <w:szCs w:val="24"/>
                <w:highlight w:val="none"/>
              </w:rPr>
            </w:pP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承包期间，如因中标人引起的严重劳务纠纷问题，影响正常工作的，采购人有权临时另行聘请员工确保正常工作，所产生的一切费用由中标人支付。一年内累计出现两次这类事件，采购人有权解除合同。</w:t>
            </w:r>
          </w:p>
          <w:p w14:paraId="5213D075">
            <w:pPr>
              <w:spacing w:line="360" w:lineRule="auto"/>
              <w:jc w:val="left"/>
              <w:rPr>
                <w:color w:val="auto"/>
                <w:sz w:val="24"/>
                <w:szCs w:val="24"/>
                <w:highlight w:val="none"/>
              </w:rPr>
            </w:pPr>
            <w:r>
              <w:rPr>
                <w:color w:val="auto"/>
                <w:sz w:val="24"/>
                <w:szCs w:val="24"/>
                <w:highlight w:val="none"/>
              </w:rPr>
              <w:t>8</w:t>
            </w:r>
            <w:r>
              <w:rPr>
                <w:rFonts w:hint="eastAsia"/>
                <w:color w:val="auto"/>
                <w:sz w:val="24"/>
                <w:szCs w:val="24"/>
                <w:highlight w:val="none"/>
                <w:lang w:eastAsia="zh-CN"/>
              </w:rPr>
              <w:t>、</w:t>
            </w:r>
            <w:r>
              <w:rPr>
                <w:color w:val="auto"/>
                <w:sz w:val="24"/>
                <w:szCs w:val="24"/>
                <w:highlight w:val="none"/>
              </w:rPr>
              <w:t>采购人有权以会议形式召集中标人研究工作和通报情况。中标人必须按通知要求出席会议。</w:t>
            </w:r>
          </w:p>
          <w:p w14:paraId="4CF51A13">
            <w:pPr>
              <w:spacing w:line="360" w:lineRule="auto"/>
              <w:jc w:val="left"/>
              <w:rPr>
                <w:color w:val="auto"/>
                <w:sz w:val="24"/>
                <w:szCs w:val="24"/>
                <w:highlight w:val="none"/>
              </w:rPr>
            </w:pPr>
            <w:r>
              <w:rPr>
                <w:color w:val="auto"/>
                <w:sz w:val="24"/>
                <w:szCs w:val="24"/>
                <w:highlight w:val="none"/>
              </w:rPr>
              <w:t>9</w:t>
            </w:r>
            <w:r>
              <w:rPr>
                <w:rFonts w:hint="eastAsia"/>
                <w:color w:val="auto"/>
                <w:sz w:val="24"/>
                <w:szCs w:val="24"/>
                <w:highlight w:val="none"/>
                <w:lang w:eastAsia="zh-CN"/>
              </w:rPr>
              <w:t>、</w:t>
            </w:r>
            <w:r>
              <w:rPr>
                <w:color w:val="auto"/>
                <w:sz w:val="24"/>
                <w:szCs w:val="24"/>
                <w:highlight w:val="none"/>
              </w:rPr>
              <w:t>项目服务期满后，中标人需积极配合与后续服务公司的有序交接，并主动安排作业人员撤离场地，妥当处理服务期内尚未解决的人工工伤劳资纠纷等。</w:t>
            </w:r>
          </w:p>
        </w:tc>
      </w:tr>
      <w:tr w14:paraId="5B90A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63A3F564">
            <w:pPr>
              <w:spacing w:line="360" w:lineRule="auto"/>
              <w:rPr>
                <w:color w:val="auto"/>
                <w:sz w:val="24"/>
                <w:szCs w:val="24"/>
                <w:highlight w:val="none"/>
              </w:rPr>
            </w:pPr>
          </w:p>
        </w:tc>
        <w:tc>
          <w:tcPr>
            <w:tcW w:w="630" w:type="dxa"/>
          </w:tcPr>
          <w:p w14:paraId="42A51BD7">
            <w:pPr>
              <w:spacing w:line="360" w:lineRule="auto"/>
              <w:rPr>
                <w:rFonts w:hint="eastAsia" w:eastAsiaTheme="minorEastAsia"/>
                <w:color w:val="auto"/>
                <w:sz w:val="24"/>
                <w:szCs w:val="24"/>
                <w:highlight w:val="none"/>
                <w:lang w:eastAsia="zh-CN"/>
              </w:rPr>
            </w:pPr>
            <w:r>
              <w:rPr>
                <w:color w:val="auto"/>
                <w:sz w:val="24"/>
                <w:szCs w:val="24"/>
                <w:highlight w:val="none"/>
              </w:rPr>
              <w:t>1</w:t>
            </w:r>
            <w:r>
              <w:rPr>
                <w:rFonts w:hint="eastAsia"/>
                <w:color w:val="auto"/>
                <w:sz w:val="24"/>
                <w:szCs w:val="24"/>
                <w:highlight w:val="none"/>
                <w:lang w:val="en-US" w:eastAsia="zh-CN"/>
              </w:rPr>
              <w:t>4</w:t>
            </w:r>
          </w:p>
        </w:tc>
        <w:tc>
          <w:tcPr>
            <w:tcW w:w="8328" w:type="dxa"/>
          </w:tcPr>
          <w:p w14:paraId="0E2FAAAC">
            <w:pPr>
              <w:spacing w:line="360" w:lineRule="auto"/>
              <w:jc w:val="left"/>
              <w:rPr>
                <w:color w:val="auto"/>
                <w:sz w:val="24"/>
                <w:szCs w:val="24"/>
                <w:highlight w:val="none"/>
              </w:rPr>
            </w:pPr>
            <w:r>
              <w:rPr>
                <w:b/>
                <w:color w:val="auto"/>
                <w:sz w:val="24"/>
                <w:szCs w:val="24"/>
                <w:highlight w:val="none"/>
              </w:rPr>
              <w:t>中标后由中标人提供的服务方案</w:t>
            </w:r>
          </w:p>
          <w:p w14:paraId="75331481">
            <w:pPr>
              <w:spacing w:line="360" w:lineRule="auto"/>
              <w:rPr>
                <w:color w:val="auto"/>
                <w:sz w:val="24"/>
                <w:szCs w:val="24"/>
                <w:highlight w:val="none"/>
              </w:rPr>
            </w:pPr>
            <w:r>
              <w:rPr>
                <w:color w:val="auto"/>
                <w:sz w:val="24"/>
                <w:szCs w:val="24"/>
                <w:highlight w:val="none"/>
              </w:rPr>
              <w:t>中标人应按街道划分递交完整的项目实施总方案，说明各分项计划，区域四至布工表、提交图表、文字说明书等资料，包含但不限于如下内容：</w:t>
            </w:r>
          </w:p>
          <w:p w14:paraId="297927C6">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中标人应详细列明每条街道的保洁人员配置表。</w:t>
            </w:r>
          </w:p>
          <w:p w14:paraId="5AA84B63">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中标人拟采取的管理方式。包括：内部管理架构、运作机制、工作流程、信息反馈渠道、控制方式等。</w:t>
            </w:r>
          </w:p>
          <w:p w14:paraId="2313B01B">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作业人员配备。包括：</w:t>
            </w:r>
            <w:r>
              <w:rPr>
                <w:rFonts w:hint="eastAsia"/>
                <w:color w:val="auto"/>
                <w:sz w:val="24"/>
                <w:szCs w:val="24"/>
                <w:highlight w:val="none"/>
                <w:lang w:val="en-US" w:eastAsia="zh-CN"/>
              </w:rPr>
              <w:t>环卫作业</w:t>
            </w:r>
            <w:r>
              <w:rPr>
                <w:color w:val="auto"/>
                <w:sz w:val="24"/>
                <w:szCs w:val="24"/>
                <w:highlight w:val="none"/>
              </w:rPr>
              <w:t>主要负责人简历、数量、人员的配置等。</w:t>
            </w:r>
          </w:p>
          <w:p w14:paraId="7B3DE217">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作业人员的培训，包括：培训计划、方式、目标等。</w:t>
            </w:r>
          </w:p>
          <w:p w14:paraId="74DE5B07">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完成工作必需的</w:t>
            </w:r>
            <w:r>
              <w:rPr>
                <w:rFonts w:hint="eastAsia"/>
                <w:color w:val="auto"/>
                <w:sz w:val="24"/>
                <w:szCs w:val="24"/>
                <w:highlight w:val="none"/>
                <w:lang w:val="en-US" w:eastAsia="zh-CN"/>
              </w:rPr>
              <w:t>物资</w:t>
            </w:r>
            <w:r>
              <w:rPr>
                <w:color w:val="auto"/>
                <w:sz w:val="24"/>
                <w:szCs w:val="24"/>
                <w:highlight w:val="none"/>
              </w:rPr>
              <w:t>装备计划情况。包括：工作服装、工具、劳保用品等。</w:t>
            </w:r>
          </w:p>
          <w:p w14:paraId="263C1D5D">
            <w:pPr>
              <w:spacing w:line="360" w:lineRule="auto"/>
              <w:jc w:val="left"/>
              <w:rPr>
                <w:color w:val="auto"/>
                <w:sz w:val="24"/>
                <w:szCs w:val="24"/>
                <w:highlight w:val="none"/>
              </w:rPr>
            </w:pP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管理规章制度。包括：单位内部岗位责任制、保洁运作管理制度和作业人员考核制度。</w:t>
            </w:r>
          </w:p>
          <w:p w14:paraId="0C22C693">
            <w:pPr>
              <w:spacing w:line="360" w:lineRule="auto"/>
              <w:jc w:val="left"/>
              <w:rPr>
                <w:color w:val="auto"/>
                <w:sz w:val="24"/>
                <w:szCs w:val="24"/>
                <w:highlight w:val="none"/>
              </w:rPr>
            </w:pP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档案的建立与管理。</w:t>
            </w:r>
          </w:p>
          <w:p w14:paraId="77EEA983">
            <w:pPr>
              <w:spacing w:line="360" w:lineRule="auto"/>
              <w:jc w:val="left"/>
              <w:rPr>
                <w:rFonts w:hint="default"/>
                <w:color w:val="auto"/>
                <w:sz w:val="24"/>
                <w:szCs w:val="24"/>
                <w:highlight w:val="none"/>
                <w:lang w:val="en-US" w:eastAsia="zh-CN"/>
              </w:rPr>
            </w:pPr>
            <w:r>
              <w:rPr>
                <w:color w:val="auto"/>
                <w:sz w:val="24"/>
                <w:szCs w:val="24"/>
                <w:highlight w:val="none"/>
              </w:rPr>
              <w:t>8</w:t>
            </w:r>
            <w:r>
              <w:rPr>
                <w:rFonts w:hint="eastAsia"/>
                <w:color w:val="auto"/>
                <w:sz w:val="24"/>
                <w:szCs w:val="24"/>
                <w:highlight w:val="none"/>
                <w:lang w:eastAsia="zh-CN"/>
              </w:rPr>
              <w:t>、</w:t>
            </w:r>
            <w:r>
              <w:rPr>
                <w:color w:val="auto"/>
                <w:sz w:val="24"/>
                <w:szCs w:val="24"/>
                <w:highlight w:val="none"/>
              </w:rPr>
              <w:t>各项作业指标的承诺。</w:t>
            </w:r>
          </w:p>
        </w:tc>
      </w:tr>
      <w:tr w14:paraId="7CC52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61E07DA2">
            <w:pPr>
              <w:spacing w:line="360" w:lineRule="auto"/>
              <w:rPr>
                <w:color w:val="auto"/>
                <w:sz w:val="24"/>
                <w:szCs w:val="24"/>
                <w:highlight w:val="none"/>
              </w:rPr>
            </w:pPr>
            <w:r>
              <w:rPr>
                <w:color w:val="auto"/>
                <w:sz w:val="24"/>
                <w:szCs w:val="24"/>
                <w:highlight w:val="none"/>
              </w:rPr>
              <w:t>说明</w:t>
            </w:r>
          </w:p>
        </w:tc>
        <w:tc>
          <w:tcPr>
            <w:tcW w:w="8958" w:type="dxa"/>
            <w:gridSpan w:val="2"/>
          </w:tcPr>
          <w:p w14:paraId="1AEAD972">
            <w:pPr>
              <w:spacing w:line="360" w:lineRule="auto"/>
              <w:jc w:val="left"/>
              <w:rPr>
                <w:color w:val="auto"/>
                <w:sz w:val="24"/>
                <w:szCs w:val="24"/>
                <w:highlight w:val="none"/>
              </w:rPr>
            </w:pPr>
            <w:r>
              <w:rPr>
                <w:color w:val="auto"/>
                <w:sz w:val="24"/>
                <w:szCs w:val="24"/>
                <w:highlight w:val="none"/>
              </w:rPr>
              <w:t>打“★”号条款为实质性条款，若有任何一条负偏离或不满足则导致投标无效。</w:t>
            </w:r>
            <w:r>
              <w:rPr>
                <w:color w:val="auto"/>
                <w:sz w:val="24"/>
                <w:szCs w:val="24"/>
                <w:highlight w:val="none"/>
              </w:rPr>
              <w:br w:type="textWrapping"/>
            </w:r>
            <w:r>
              <w:rPr>
                <w:color w:val="auto"/>
                <w:sz w:val="24"/>
                <w:szCs w:val="24"/>
                <w:highlight w:val="none"/>
              </w:rPr>
              <w:t>打“▲”号条款为重要技术参数，若有部分“▲”条款未响应或不满足，将导致其响应性评审加重扣分，但不作为无效投标条款。</w:t>
            </w:r>
          </w:p>
        </w:tc>
      </w:tr>
    </w:tbl>
    <w:p w14:paraId="165BE853">
      <w:pPr>
        <w:spacing w:line="360" w:lineRule="auto"/>
        <w:rPr>
          <w:color w:val="auto"/>
          <w:sz w:val="24"/>
          <w:szCs w:val="24"/>
          <w:highlight w:val="none"/>
        </w:rPr>
      </w:pPr>
    </w:p>
    <w:p w14:paraId="0A045072">
      <w:pPr>
        <w:spacing w:line="360" w:lineRule="auto"/>
        <w:rPr>
          <w:b/>
          <w:bCs/>
          <w:color w:val="auto"/>
          <w:sz w:val="24"/>
          <w:szCs w:val="24"/>
          <w:highlight w:val="none"/>
        </w:rPr>
      </w:pPr>
      <w:r>
        <w:rPr>
          <w:b/>
          <w:bCs/>
          <w:color w:val="auto"/>
          <w:sz w:val="24"/>
          <w:szCs w:val="24"/>
          <w:highlight w:val="none"/>
        </w:rPr>
        <w:t>采购包2（普宁市市区环卫作业外包服务（西片区））</w:t>
      </w:r>
    </w:p>
    <w:p w14:paraId="1A0BB60B">
      <w:pPr>
        <w:spacing w:line="360" w:lineRule="auto"/>
        <w:rPr>
          <w:color w:val="auto"/>
          <w:sz w:val="24"/>
          <w:szCs w:val="24"/>
          <w:highlight w:val="none"/>
        </w:rPr>
      </w:pPr>
      <w:r>
        <w:rPr>
          <w:b/>
          <w:color w:val="auto"/>
          <w:sz w:val="24"/>
          <w:szCs w:val="24"/>
          <w:highlight w:val="none"/>
        </w:rPr>
        <w:t>1.主要商务要求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7"/>
        <w:gridCol w:w="8117"/>
      </w:tblGrid>
      <w:tr w14:paraId="6FD7E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176E14E6">
            <w:pPr>
              <w:spacing w:line="360" w:lineRule="auto"/>
              <w:rPr>
                <w:color w:val="auto"/>
                <w:sz w:val="24"/>
                <w:szCs w:val="24"/>
                <w:highlight w:val="none"/>
              </w:rPr>
            </w:pPr>
            <w:r>
              <w:rPr>
                <w:color w:val="auto"/>
                <w:sz w:val="24"/>
                <w:szCs w:val="24"/>
                <w:highlight w:val="none"/>
              </w:rPr>
              <w:t>标的提供的时间</w:t>
            </w:r>
          </w:p>
        </w:tc>
        <w:tc>
          <w:tcPr>
            <w:tcW w:w="8117" w:type="dxa"/>
          </w:tcPr>
          <w:p w14:paraId="73706130">
            <w:pPr>
              <w:spacing w:line="360" w:lineRule="auto"/>
              <w:rPr>
                <w:color w:val="auto"/>
                <w:sz w:val="24"/>
                <w:szCs w:val="24"/>
                <w:highlight w:val="none"/>
              </w:rPr>
            </w:pPr>
            <w:r>
              <w:rPr>
                <w:color w:val="auto"/>
                <w:sz w:val="24"/>
                <w:szCs w:val="24"/>
                <w:highlight w:val="none"/>
              </w:rPr>
              <w:t>合同生效之日起3年。</w:t>
            </w:r>
          </w:p>
        </w:tc>
      </w:tr>
      <w:tr w14:paraId="2D6F8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28E5D067">
            <w:pPr>
              <w:spacing w:line="360" w:lineRule="auto"/>
              <w:rPr>
                <w:color w:val="auto"/>
                <w:sz w:val="24"/>
                <w:szCs w:val="24"/>
                <w:highlight w:val="none"/>
              </w:rPr>
            </w:pPr>
            <w:r>
              <w:rPr>
                <w:color w:val="auto"/>
                <w:sz w:val="24"/>
                <w:szCs w:val="24"/>
                <w:highlight w:val="none"/>
              </w:rPr>
              <w:t>标的提供的地点</w:t>
            </w:r>
          </w:p>
        </w:tc>
        <w:tc>
          <w:tcPr>
            <w:tcW w:w="8117" w:type="dxa"/>
          </w:tcPr>
          <w:p w14:paraId="72F649EC">
            <w:pPr>
              <w:spacing w:line="360" w:lineRule="auto"/>
              <w:rPr>
                <w:color w:val="auto"/>
                <w:sz w:val="24"/>
                <w:szCs w:val="24"/>
                <w:highlight w:val="none"/>
              </w:rPr>
            </w:pPr>
            <w:r>
              <w:rPr>
                <w:rFonts w:hint="eastAsia"/>
                <w:color w:val="auto"/>
                <w:sz w:val="24"/>
                <w:szCs w:val="24"/>
                <w:highlight w:val="none"/>
                <w:lang w:eastAsia="zh-CN"/>
              </w:rPr>
              <w:t>普宁市市区</w:t>
            </w:r>
            <w:r>
              <w:rPr>
                <w:color w:val="auto"/>
                <w:sz w:val="24"/>
                <w:szCs w:val="24"/>
                <w:highlight w:val="none"/>
              </w:rPr>
              <w:t>。</w:t>
            </w:r>
          </w:p>
        </w:tc>
      </w:tr>
      <w:tr w14:paraId="7DBA4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1FD11378">
            <w:pPr>
              <w:spacing w:line="360" w:lineRule="auto"/>
              <w:rPr>
                <w:color w:val="auto"/>
                <w:sz w:val="24"/>
                <w:szCs w:val="24"/>
                <w:highlight w:val="none"/>
              </w:rPr>
            </w:pPr>
            <w:r>
              <w:rPr>
                <w:color w:val="auto"/>
                <w:sz w:val="24"/>
                <w:szCs w:val="24"/>
                <w:highlight w:val="none"/>
              </w:rPr>
              <w:t>付款方式</w:t>
            </w:r>
          </w:p>
        </w:tc>
        <w:tc>
          <w:tcPr>
            <w:tcW w:w="8117" w:type="dxa"/>
          </w:tcPr>
          <w:p w14:paraId="2FD3A69B">
            <w:pPr>
              <w:spacing w:line="360" w:lineRule="auto"/>
              <w:rPr>
                <w:rFonts w:hint="eastAsia" w:eastAsiaTheme="minorEastAsia"/>
                <w:color w:val="auto"/>
                <w:sz w:val="24"/>
                <w:szCs w:val="24"/>
                <w:highlight w:val="none"/>
                <w:lang w:eastAsia="zh-CN"/>
              </w:rPr>
            </w:pPr>
            <w:r>
              <w:rPr>
                <w:rFonts w:hint="eastAsia"/>
                <w:color w:val="auto"/>
                <w:sz w:val="24"/>
                <w:szCs w:val="24"/>
                <w:highlight w:val="none"/>
              </w:rPr>
              <w:t>由中标人次月向采购人提供上月服务费申请表，并附上合法有效的票据，采购人在收到应付票据后，向财政部门请款后将上月服务费用汇入中标人的指定账户，其中，工人工资足额拨付至中标人按有关规定开设的工人工资专用账户，确保专款专用，如遇节假日则依次推后。服务费按中标价格平均到每个月的金额￥  元（大写：    ），根据每月检查考核情况，中标人本月度被处罚的金额，在拨付服务费中直接扣除。</w:t>
            </w:r>
          </w:p>
        </w:tc>
      </w:tr>
      <w:tr w14:paraId="4552A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00A5A733">
            <w:pPr>
              <w:spacing w:line="360" w:lineRule="auto"/>
              <w:rPr>
                <w:color w:val="auto"/>
                <w:sz w:val="24"/>
                <w:szCs w:val="24"/>
                <w:highlight w:val="none"/>
              </w:rPr>
            </w:pPr>
            <w:r>
              <w:rPr>
                <w:color w:val="auto"/>
                <w:sz w:val="24"/>
                <w:szCs w:val="24"/>
                <w:highlight w:val="none"/>
              </w:rPr>
              <w:t>验收要求</w:t>
            </w:r>
          </w:p>
        </w:tc>
        <w:tc>
          <w:tcPr>
            <w:tcW w:w="8117" w:type="dxa"/>
          </w:tcPr>
          <w:p w14:paraId="20F7BB2F">
            <w:pPr>
              <w:spacing w:line="360" w:lineRule="auto"/>
              <w:rPr>
                <w:color w:val="auto"/>
                <w:sz w:val="24"/>
                <w:szCs w:val="24"/>
                <w:highlight w:val="none"/>
              </w:rPr>
            </w:pPr>
            <w:r>
              <w:rPr>
                <w:color w:val="auto"/>
                <w:sz w:val="24"/>
                <w:szCs w:val="24"/>
                <w:highlight w:val="none"/>
              </w:rPr>
              <w:t>由环卫中心按照《采购需求书要求》，参照《普宁市市区环境卫生验评标准》的要求和标准开展环卫服务质量的检查与考核，每月由采购人进行确认。对中标人的环卫服务实行量化月度考评</w:t>
            </w:r>
            <w:r>
              <w:rPr>
                <w:rFonts w:hint="eastAsia"/>
                <w:color w:val="auto"/>
                <w:sz w:val="24"/>
                <w:szCs w:val="24"/>
                <w:highlight w:val="none"/>
                <w:lang w:eastAsia="zh-CN"/>
              </w:rPr>
              <w:t>（</w:t>
            </w:r>
            <w:r>
              <w:rPr>
                <w:color w:val="auto"/>
                <w:sz w:val="24"/>
                <w:szCs w:val="24"/>
                <w:highlight w:val="none"/>
              </w:rPr>
              <w:t>包括日常检查、月度考核和公众监督三部分</w:t>
            </w:r>
            <w:r>
              <w:rPr>
                <w:rFonts w:hint="eastAsia"/>
                <w:color w:val="auto"/>
                <w:sz w:val="24"/>
                <w:szCs w:val="24"/>
                <w:highlight w:val="none"/>
                <w:lang w:eastAsia="zh-CN"/>
              </w:rPr>
              <w:t>）</w:t>
            </w:r>
            <w:r>
              <w:rPr>
                <w:color w:val="auto"/>
                <w:sz w:val="24"/>
                <w:szCs w:val="24"/>
                <w:highlight w:val="none"/>
              </w:rPr>
              <w:t>。</w:t>
            </w:r>
          </w:p>
        </w:tc>
      </w:tr>
      <w:tr w14:paraId="4EE50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68405CF3">
            <w:pPr>
              <w:spacing w:line="360" w:lineRule="auto"/>
              <w:rPr>
                <w:color w:val="auto"/>
                <w:sz w:val="24"/>
                <w:szCs w:val="24"/>
                <w:highlight w:val="none"/>
              </w:rPr>
            </w:pPr>
            <w:r>
              <w:rPr>
                <w:color w:val="auto"/>
                <w:sz w:val="24"/>
                <w:szCs w:val="24"/>
                <w:highlight w:val="none"/>
              </w:rPr>
              <w:t>履约保证金</w:t>
            </w:r>
          </w:p>
        </w:tc>
        <w:tc>
          <w:tcPr>
            <w:tcW w:w="8117" w:type="dxa"/>
          </w:tcPr>
          <w:p w14:paraId="295A6935">
            <w:pPr>
              <w:spacing w:line="360" w:lineRule="auto"/>
              <w:rPr>
                <w:rFonts w:hint="eastAsia"/>
                <w:color w:val="auto"/>
                <w:sz w:val="24"/>
                <w:szCs w:val="24"/>
                <w:highlight w:val="none"/>
                <w:lang w:val="en-US" w:eastAsia="zh-CN"/>
              </w:rPr>
            </w:pPr>
            <w:r>
              <w:rPr>
                <w:color w:val="auto"/>
                <w:sz w:val="24"/>
                <w:szCs w:val="24"/>
                <w:highlight w:val="none"/>
              </w:rPr>
              <w:t>收取比例：5%</w:t>
            </w:r>
            <w:r>
              <w:rPr>
                <w:rFonts w:hint="eastAsia"/>
                <w:color w:val="auto"/>
                <w:sz w:val="24"/>
                <w:szCs w:val="24"/>
                <w:highlight w:val="none"/>
                <w:lang w:val="en-US" w:eastAsia="zh-CN"/>
              </w:rPr>
              <w:t>。</w:t>
            </w:r>
          </w:p>
          <w:p w14:paraId="78DED05B">
            <w:pPr>
              <w:spacing w:line="360" w:lineRule="auto"/>
              <w:rPr>
                <w:color w:val="auto"/>
                <w:sz w:val="24"/>
                <w:szCs w:val="24"/>
                <w:highlight w:val="none"/>
              </w:rPr>
            </w:pPr>
            <w:r>
              <w:rPr>
                <w:color w:val="auto"/>
                <w:sz w:val="24"/>
                <w:szCs w:val="24"/>
                <w:highlight w:val="none"/>
              </w:rPr>
              <w:t>说明：</w:t>
            </w:r>
          </w:p>
          <w:p w14:paraId="4549FEC7">
            <w:pPr>
              <w:numPr>
                <w:ilvl w:val="0"/>
                <w:numId w:val="3"/>
              </w:numPr>
              <w:spacing w:line="360" w:lineRule="auto"/>
              <w:rPr>
                <w:color w:val="auto"/>
                <w:sz w:val="24"/>
                <w:szCs w:val="24"/>
                <w:highlight w:val="none"/>
              </w:rPr>
            </w:pPr>
            <w:r>
              <w:rPr>
                <w:color w:val="auto"/>
                <w:sz w:val="24"/>
                <w:szCs w:val="24"/>
                <w:highlight w:val="none"/>
              </w:rPr>
              <w:t>中标人须向采购人提交合同履约保证金，按中标价的5%取整数至万位作为合同履约保证金，履约保证金自合同签订</w:t>
            </w:r>
            <w:r>
              <w:rPr>
                <w:rFonts w:hint="eastAsia"/>
                <w:color w:val="auto"/>
                <w:sz w:val="24"/>
                <w:szCs w:val="24"/>
                <w:highlight w:val="none"/>
                <w:lang w:val="en-US" w:eastAsia="zh-CN"/>
              </w:rPr>
              <w:t>之日起10个工作日内，向</w:t>
            </w:r>
            <w:r>
              <w:rPr>
                <w:color w:val="auto"/>
                <w:sz w:val="24"/>
                <w:szCs w:val="24"/>
                <w:highlight w:val="none"/>
              </w:rPr>
              <w:t xml:space="preserve">采购人提交。 </w:t>
            </w:r>
          </w:p>
          <w:p w14:paraId="3C1BF1DE">
            <w:pPr>
              <w:numPr>
                <w:ilvl w:val="0"/>
                <w:numId w:val="0"/>
              </w:numPr>
              <w:spacing w:line="360" w:lineRule="auto"/>
              <w:ind w:leftChars="0"/>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履约保证金提交方式： （1）采用电汇或</w:t>
            </w:r>
            <w:r>
              <w:rPr>
                <w:rFonts w:hint="eastAsia"/>
                <w:color w:val="auto"/>
                <w:sz w:val="24"/>
                <w:szCs w:val="24"/>
                <w:highlight w:val="none"/>
                <w:lang w:eastAsia="zh-CN"/>
              </w:rPr>
              <w:t>转账方式</w:t>
            </w:r>
            <w:r>
              <w:rPr>
                <w:color w:val="auto"/>
                <w:sz w:val="24"/>
                <w:szCs w:val="24"/>
                <w:highlight w:val="none"/>
              </w:rPr>
              <w:t>提交，中标人按合同条款的约定将</w:t>
            </w:r>
            <w:r>
              <w:rPr>
                <w:rFonts w:hint="eastAsia"/>
                <w:color w:val="auto"/>
                <w:sz w:val="24"/>
                <w:szCs w:val="24"/>
                <w:highlight w:val="none"/>
                <w:lang w:val="en-US" w:eastAsia="zh-CN"/>
              </w:rPr>
              <w:t>履约</w:t>
            </w:r>
            <w:r>
              <w:rPr>
                <w:color w:val="auto"/>
                <w:sz w:val="24"/>
                <w:szCs w:val="24"/>
                <w:highlight w:val="none"/>
              </w:rPr>
              <w:t>保证金汇入采购人指定的账户，以银行</w:t>
            </w:r>
            <w:r>
              <w:rPr>
                <w:rFonts w:hint="eastAsia"/>
                <w:color w:val="auto"/>
                <w:sz w:val="24"/>
                <w:szCs w:val="24"/>
                <w:highlight w:val="none"/>
                <w:lang w:eastAsia="zh-CN"/>
              </w:rPr>
              <w:t>到账的</w:t>
            </w:r>
            <w:r>
              <w:rPr>
                <w:color w:val="auto"/>
                <w:sz w:val="24"/>
                <w:szCs w:val="24"/>
                <w:highlight w:val="none"/>
              </w:rPr>
              <w:t>时间为准； （2）采用支票、汇票、本票或者国有银行出具的保函等非现金形式提交</w:t>
            </w:r>
            <w:r>
              <w:rPr>
                <w:rFonts w:hint="eastAsia"/>
                <w:color w:val="auto"/>
                <w:sz w:val="24"/>
                <w:szCs w:val="24"/>
                <w:highlight w:val="none"/>
                <w:lang w:eastAsia="zh-CN"/>
              </w:rPr>
              <w:t>。</w:t>
            </w:r>
          </w:p>
          <w:p w14:paraId="20DB9DC4">
            <w:pPr>
              <w:numPr>
                <w:ilvl w:val="0"/>
                <w:numId w:val="0"/>
              </w:numPr>
              <w:spacing w:line="360" w:lineRule="auto"/>
              <w:ind w:leftChars="0"/>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 xml:space="preserve">履约保证金用于按合同补偿采购人因中标人不能完成其合同义务而蒙受的损失，也可用于采购人处罚对中标人未按要求投入足够作业人数的相应违约金，履约保证金因违约被采购人扣除而减少的，中标人必须以适当的形式在5个工作日内如约补足。凡因中标人责任，使采购人解除本合同的，履约保证金不向中标人退还。 </w:t>
            </w:r>
          </w:p>
          <w:p w14:paraId="1FD17EFD">
            <w:pPr>
              <w:numPr>
                <w:ilvl w:val="0"/>
                <w:numId w:val="0"/>
              </w:numPr>
              <w:spacing w:line="360" w:lineRule="auto"/>
              <w:ind w:leftChars="0"/>
              <w:rPr>
                <w:color w:val="auto"/>
                <w:sz w:val="24"/>
                <w:szCs w:val="24"/>
                <w:highlight w:val="none"/>
              </w:rPr>
            </w:pPr>
            <w:r>
              <w:rPr>
                <w:color w:val="auto"/>
                <w:sz w:val="24"/>
                <w:szCs w:val="24"/>
                <w:highlight w:val="none"/>
              </w:rPr>
              <w:t>4、中标人不按合同约定如期、足额</w:t>
            </w:r>
            <w:r>
              <w:rPr>
                <w:rFonts w:hint="eastAsia"/>
                <w:color w:val="auto"/>
                <w:sz w:val="24"/>
                <w:szCs w:val="24"/>
                <w:highlight w:val="none"/>
                <w:lang w:val="en-US" w:eastAsia="zh-CN"/>
              </w:rPr>
              <w:t>的</w:t>
            </w:r>
            <w:r>
              <w:rPr>
                <w:color w:val="auto"/>
                <w:sz w:val="24"/>
                <w:szCs w:val="24"/>
                <w:highlight w:val="none"/>
              </w:rPr>
              <w:t>向采购人提交履约保证金，采购人可单方面解除合同并取消该中标决定。采购人可以与排位在中标人之后第一位的中标候选人签订政府</w:t>
            </w:r>
            <w:r>
              <w:rPr>
                <w:rFonts w:hint="eastAsia"/>
                <w:color w:val="auto"/>
                <w:sz w:val="24"/>
                <w:szCs w:val="24"/>
                <w:highlight w:val="none"/>
                <w:lang w:val="en-US" w:eastAsia="zh-CN"/>
              </w:rPr>
              <w:t>采购</w:t>
            </w:r>
            <w:r>
              <w:rPr>
                <w:color w:val="auto"/>
                <w:sz w:val="24"/>
                <w:szCs w:val="24"/>
                <w:highlight w:val="none"/>
              </w:rPr>
              <w:t>合同，</w:t>
            </w:r>
            <w:r>
              <w:rPr>
                <w:rFonts w:hint="eastAsia"/>
                <w:color w:val="auto"/>
                <w:sz w:val="24"/>
                <w:szCs w:val="24"/>
                <w:highlight w:val="none"/>
                <w:lang w:val="en-US" w:eastAsia="zh-CN"/>
              </w:rPr>
              <w:t>依</w:t>
            </w:r>
            <w:r>
              <w:rPr>
                <w:color w:val="auto"/>
                <w:sz w:val="24"/>
                <w:szCs w:val="24"/>
                <w:highlight w:val="none"/>
              </w:rPr>
              <w:t xml:space="preserve">此类推，或者重新招标。 </w:t>
            </w:r>
          </w:p>
          <w:p w14:paraId="717525F1">
            <w:pPr>
              <w:numPr>
                <w:ilvl w:val="0"/>
                <w:numId w:val="0"/>
              </w:numPr>
              <w:spacing w:line="360" w:lineRule="auto"/>
              <w:ind w:leftChars="0"/>
              <w:rPr>
                <w:color w:val="auto"/>
                <w:sz w:val="24"/>
                <w:szCs w:val="24"/>
                <w:highlight w:val="none"/>
              </w:rPr>
            </w:pPr>
            <w:r>
              <w:rPr>
                <w:color w:val="auto"/>
                <w:sz w:val="24"/>
                <w:szCs w:val="24"/>
                <w:highlight w:val="none"/>
              </w:rPr>
              <w:t>5、履约保证金的退还：</w:t>
            </w:r>
            <w:r>
              <w:rPr>
                <w:rFonts w:hint="eastAsia"/>
                <w:color w:val="auto"/>
                <w:sz w:val="24"/>
                <w:szCs w:val="24"/>
                <w:highlight w:val="none"/>
                <w:lang w:val="en-US" w:eastAsia="zh-CN"/>
              </w:rPr>
              <w:t>若</w:t>
            </w:r>
            <w:r>
              <w:rPr>
                <w:color w:val="auto"/>
                <w:sz w:val="24"/>
                <w:szCs w:val="24"/>
                <w:highlight w:val="none"/>
              </w:rPr>
              <w:t>中标人完成其合同义务</w:t>
            </w:r>
            <w:r>
              <w:rPr>
                <w:rFonts w:hint="eastAsia"/>
                <w:color w:val="auto"/>
                <w:sz w:val="24"/>
                <w:szCs w:val="24"/>
                <w:highlight w:val="none"/>
                <w:lang w:val="en-US" w:eastAsia="zh-CN"/>
              </w:rPr>
              <w:t>后</w:t>
            </w:r>
            <w:r>
              <w:rPr>
                <w:color w:val="auto"/>
                <w:sz w:val="24"/>
                <w:szCs w:val="24"/>
                <w:highlight w:val="none"/>
              </w:rPr>
              <w:t>，</w:t>
            </w:r>
            <w:r>
              <w:rPr>
                <w:rFonts w:hint="eastAsia"/>
                <w:color w:val="auto"/>
                <w:sz w:val="24"/>
                <w:szCs w:val="24"/>
                <w:highlight w:val="none"/>
                <w:lang w:val="en-US" w:eastAsia="zh-CN"/>
              </w:rPr>
              <w:t>且</w:t>
            </w:r>
            <w:r>
              <w:rPr>
                <w:color w:val="auto"/>
                <w:sz w:val="24"/>
                <w:szCs w:val="24"/>
                <w:highlight w:val="none"/>
              </w:rPr>
              <w:t>没有违约行为，履约保证金在合同有效期满完成道路、资产交接等业务后，</w:t>
            </w:r>
            <w:r>
              <w:rPr>
                <w:rFonts w:hint="eastAsia"/>
                <w:color w:val="auto"/>
                <w:sz w:val="24"/>
                <w:szCs w:val="24"/>
                <w:highlight w:val="none"/>
                <w:lang w:eastAsia="zh-CN"/>
              </w:rPr>
              <w:t>由采购人在5个工作日内</w:t>
            </w:r>
            <w:r>
              <w:rPr>
                <w:color w:val="auto"/>
                <w:sz w:val="24"/>
                <w:szCs w:val="24"/>
                <w:highlight w:val="none"/>
              </w:rPr>
              <w:t>将履约保证金无息退还。</w:t>
            </w:r>
          </w:p>
        </w:tc>
      </w:tr>
      <w:tr w14:paraId="17386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40D48933">
            <w:pPr>
              <w:spacing w:line="360" w:lineRule="auto"/>
              <w:rPr>
                <w:color w:val="auto"/>
                <w:sz w:val="24"/>
                <w:szCs w:val="24"/>
                <w:highlight w:val="none"/>
              </w:rPr>
            </w:pPr>
            <w:r>
              <w:rPr>
                <w:color w:val="auto"/>
                <w:sz w:val="24"/>
                <w:szCs w:val="24"/>
                <w:highlight w:val="none"/>
              </w:rPr>
              <w:t>其他</w:t>
            </w:r>
          </w:p>
        </w:tc>
        <w:tc>
          <w:tcPr>
            <w:tcW w:w="8117" w:type="dxa"/>
          </w:tcPr>
          <w:p w14:paraId="5583C4B5">
            <w:pPr>
              <w:numPr>
                <w:ilvl w:val="0"/>
                <w:numId w:val="0"/>
              </w:numPr>
              <w:spacing w:line="360" w:lineRule="auto"/>
              <w:ind w:left="105" w:leftChars="0"/>
              <w:rPr>
                <w:rFonts w:hint="eastAsia"/>
                <w:color w:val="auto"/>
                <w:sz w:val="24"/>
                <w:szCs w:val="24"/>
                <w:highlight w:val="none"/>
                <w:lang w:eastAsia="zh-CN"/>
              </w:rPr>
            </w:pPr>
            <w:r>
              <w:rPr>
                <w:color w:val="auto"/>
                <w:sz w:val="24"/>
                <w:szCs w:val="24"/>
                <w:highlight w:val="none"/>
              </w:rPr>
              <w:t>承包期间，双方必须严格履行合同，在执行过程中，如遇未尽事宜（含政府政策、作业标准、作业时间调整等），双方可协商形成补充协议，具有与主合同同等效力</w:t>
            </w:r>
            <w:r>
              <w:rPr>
                <w:rFonts w:hint="eastAsia"/>
                <w:color w:val="auto"/>
                <w:sz w:val="24"/>
                <w:szCs w:val="24"/>
                <w:highlight w:val="none"/>
                <w:lang w:eastAsia="zh-CN"/>
              </w:rPr>
              <w:t>。</w:t>
            </w:r>
          </w:p>
        </w:tc>
      </w:tr>
    </w:tbl>
    <w:p w14:paraId="15992307">
      <w:pPr>
        <w:spacing w:line="360" w:lineRule="auto"/>
        <w:rPr>
          <w:color w:val="auto"/>
          <w:sz w:val="24"/>
          <w:szCs w:val="24"/>
          <w:highlight w:val="none"/>
        </w:rPr>
      </w:pPr>
      <w:r>
        <w:rPr>
          <w:color w:val="auto"/>
          <w:sz w:val="24"/>
          <w:szCs w:val="24"/>
          <w:highlight w:val="none"/>
        </w:rPr>
        <w:t>其他商务需求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757"/>
        <w:gridCol w:w="1094"/>
        <w:gridCol w:w="7234"/>
      </w:tblGrid>
      <w:tr w14:paraId="09F61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6AB541E2">
            <w:pPr>
              <w:spacing w:line="360" w:lineRule="auto"/>
              <w:jc w:val="center"/>
              <w:rPr>
                <w:color w:val="auto"/>
                <w:sz w:val="24"/>
                <w:szCs w:val="24"/>
                <w:highlight w:val="none"/>
              </w:rPr>
            </w:pPr>
            <w:r>
              <w:rPr>
                <w:color w:val="auto"/>
                <w:sz w:val="24"/>
                <w:szCs w:val="24"/>
                <w:highlight w:val="none"/>
              </w:rPr>
              <w:t>参数性质</w:t>
            </w:r>
          </w:p>
        </w:tc>
        <w:tc>
          <w:tcPr>
            <w:tcW w:w="757" w:type="dxa"/>
          </w:tcPr>
          <w:p w14:paraId="3816CA24">
            <w:pPr>
              <w:spacing w:line="360" w:lineRule="auto"/>
              <w:jc w:val="center"/>
              <w:rPr>
                <w:color w:val="auto"/>
                <w:sz w:val="24"/>
                <w:szCs w:val="24"/>
                <w:highlight w:val="none"/>
              </w:rPr>
            </w:pPr>
            <w:r>
              <w:rPr>
                <w:color w:val="auto"/>
                <w:sz w:val="24"/>
                <w:szCs w:val="24"/>
                <w:highlight w:val="none"/>
              </w:rPr>
              <w:t>编号</w:t>
            </w:r>
          </w:p>
        </w:tc>
        <w:tc>
          <w:tcPr>
            <w:tcW w:w="1094" w:type="dxa"/>
          </w:tcPr>
          <w:p w14:paraId="17988D05">
            <w:pPr>
              <w:spacing w:line="360" w:lineRule="auto"/>
              <w:jc w:val="both"/>
              <w:rPr>
                <w:color w:val="auto"/>
                <w:sz w:val="24"/>
                <w:szCs w:val="24"/>
                <w:highlight w:val="none"/>
              </w:rPr>
            </w:pPr>
            <w:r>
              <w:rPr>
                <w:color w:val="auto"/>
                <w:sz w:val="24"/>
                <w:szCs w:val="24"/>
                <w:highlight w:val="none"/>
              </w:rPr>
              <w:t>内容明细</w:t>
            </w:r>
          </w:p>
        </w:tc>
        <w:tc>
          <w:tcPr>
            <w:tcW w:w="7234" w:type="dxa"/>
          </w:tcPr>
          <w:p w14:paraId="33CB2326">
            <w:pPr>
              <w:spacing w:line="360" w:lineRule="auto"/>
              <w:jc w:val="center"/>
              <w:rPr>
                <w:color w:val="auto"/>
                <w:sz w:val="24"/>
                <w:szCs w:val="24"/>
                <w:highlight w:val="none"/>
              </w:rPr>
            </w:pPr>
            <w:r>
              <w:rPr>
                <w:color w:val="auto"/>
                <w:sz w:val="24"/>
                <w:szCs w:val="24"/>
                <w:highlight w:val="none"/>
              </w:rPr>
              <w:t>内容说明</w:t>
            </w:r>
          </w:p>
        </w:tc>
      </w:tr>
      <w:tr w14:paraId="00A28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1903B925">
            <w:pPr>
              <w:spacing w:line="360" w:lineRule="auto"/>
              <w:jc w:val="center"/>
              <w:rPr>
                <w:color w:val="auto"/>
                <w:sz w:val="24"/>
                <w:szCs w:val="24"/>
                <w:highlight w:val="none"/>
              </w:rPr>
            </w:pPr>
          </w:p>
        </w:tc>
        <w:tc>
          <w:tcPr>
            <w:tcW w:w="757" w:type="dxa"/>
          </w:tcPr>
          <w:p w14:paraId="252CA90E">
            <w:pPr>
              <w:spacing w:line="360" w:lineRule="auto"/>
              <w:jc w:val="center"/>
              <w:rPr>
                <w:color w:val="auto"/>
                <w:sz w:val="24"/>
                <w:szCs w:val="24"/>
                <w:highlight w:val="none"/>
              </w:rPr>
            </w:pPr>
            <w:r>
              <w:rPr>
                <w:color w:val="auto"/>
                <w:sz w:val="24"/>
                <w:szCs w:val="24"/>
                <w:highlight w:val="none"/>
              </w:rPr>
              <w:t>1</w:t>
            </w:r>
          </w:p>
        </w:tc>
        <w:tc>
          <w:tcPr>
            <w:tcW w:w="1094" w:type="dxa"/>
          </w:tcPr>
          <w:p w14:paraId="22256B5A">
            <w:pPr>
              <w:spacing w:line="360" w:lineRule="auto"/>
              <w:jc w:val="left"/>
              <w:rPr>
                <w:color w:val="auto"/>
                <w:sz w:val="24"/>
                <w:szCs w:val="24"/>
                <w:highlight w:val="none"/>
              </w:rPr>
            </w:pPr>
            <w:r>
              <w:rPr>
                <w:color w:val="auto"/>
                <w:sz w:val="24"/>
                <w:szCs w:val="24"/>
                <w:highlight w:val="none"/>
              </w:rPr>
              <w:t>相关费用</w:t>
            </w:r>
          </w:p>
        </w:tc>
        <w:tc>
          <w:tcPr>
            <w:tcW w:w="7234" w:type="dxa"/>
          </w:tcPr>
          <w:p w14:paraId="4534EE94">
            <w:pPr>
              <w:spacing w:line="360" w:lineRule="auto"/>
              <w:jc w:val="left"/>
              <w:rPr>
                <w:color w:val="auto"/>
                <w:sz w:val="24"/>
                <w:szCs w:val="24"/>
                <w:highlight w:val="none"/>
              </w:rPr>
            </w:pPr>
            <w:r>
              <w:rPr>
                <w:color w:val="auto"/>
                <w:sz w:val="24"/>
                <w:szCs w:val="24"/>
                <w:highlight w:val="none"/>
              </w:rPr>
              <w:t>★1、依据普宁市公布的物价指数（如果普宁市当年未公布物价指数，</w:t>
            </w:r>
            <w:r>
              <w:rPr>
                <w:rFonts w:hint="eastAsia"/>
                <w:color w:val="auto"/>
                <w:sz w:val="24"/>
                <w:szCs w:val="24"/>
                <w:highlight w:val="none"/>
                <w:lang w:val="en-US" w:eastAsia="zh-CN"/>
              </w:rPr>
              <w:t>以</w:t>
            </w:r>
            <w:r>
              <w:rPr>
                <w:color w:val="auto"/>
                <w:sz w:val="24"/>
                <w:szCs w:val="24"/>
                <w:highlight w:val="none"/>
              </w:rPr>
              <w:t>揭阳市公布的物价指数为准），如果物价指数当年上涨或下降超过3%，</w:t>
            </w:r>
            <w:r>
              <w:rPr>
                <w:rFonts w:hint="eastAsia"/>
                <w:color w:val="auto"/>
                <w:sz w:val="24"/>
                <w:szCs w:val="24"/>
                <w:highlight w:val="none"/>
                <w:lang w:val="en-US" w:eastAsia="zh-CN"/>
              </w:rPr>
              <w:t>自</w:t>
            </w:r>
            <w:r>
              <w:rPr>
                <w:color w:val="auto"/>
                <w:sz w:val="24"/>
                <w:szCs w:val="24"/>
                <w:highlight w:val="none"/>
              </w:rPr>
              <w:t>合同签订之日起第一年不做调整，第二年和第三年服务费依据普宁市公布的物价指数（如果普宁市当年未公布物价指数，</w:t>
            </w:r>
            <w:r>
              <w:rPr>
                <w:rFonts w:hint="eastAsia"/>
                <w:color w:val="auto"/>
                <w:sz w:val="24"/>
                <w:szCs w:val="24"/>
                <w:highlight w:val="none"/>
                <w:lang w:val="en-US" w:eastAsia="zh-CN"/>
              </w:rPr>
              <w:t>以</w:t>
            </w:r>
            <w:r>
              <w:rPr>
                <w:color w:val="auto"/>
                <w:sz w:val="24"/>
                <w:szCs w:val="24"/>
                <w:highlight w:val="none"/>
              </w:rPr>
              <w:t xml:space="preserve">揭阳市公布的物价指数为准）相应同比调整，报经政府财政主管部门申请调整，调整经费以政府财政实际核批数为准。计算公式为：（当年物价比较上年度上涨/下降指数-3%）×每年中标价。 </w:t>
            </w:r>
          </w:p>
          <w:p w14:paraId="11DB490D">
            <w:pPr>
              <w:spacing w:line="360" w:lineRule="auto"/>
              <w:jc w:val="left"/>
              <w:rPr>
                <w:color w:val="auto"/>
                <w:sz w:val="24"/>
                <w:szCs w:val="24"/>
                <w:highlight w:val="none"/>
              </w:rPr>
            </w:pPr>
            <w:r>
              <w:rPr>
                <w:color w:val="auto"/>
                <w:sz w:val="24"/>
                <w:szCs w:val="24"/>
                <w:highlight w:val="none"/>
              </w:rPr>
              <w:t>★2、为方便外包项目实施管理，本次服务项目实行固定总价包干。合同服务期间，服务区域内因城市动态变化服务费用增加不作调整，但因市政建设采取封闭或半封闭施工的，施工期间应按照实际施工期扣减服务费，封闭或半封闭施工面积×每年合同价÷</w:t>
            </w:r>
            <w:r>
              <w:rPr>
                <w:rFonts w:hint="eastAsia"/>
                <w:color w:val="auto"/>
                <w:sz w:val="24"/>
                <w:szCs w:val="24"/>
                <w:highlight w:val="none"/>
                <w:lang w:val="en-US" w:eastAsia="zh-CN"/>
              </w:rPr>
              <w:t>5767207.60</w:t>
            </w:r>
            <w:r>
              <w:rPr>
                <w:color w:val="auto"/>
                <w:sz w:val="24"/>
                <w:szCs w:val="24"/>
                <w:highlight w:val="none"/>
              </w:rPr>
              <w:t>平方米×施工天数÷365天=扣减服务费；承包期内如服务区域外扩，在不超过合同价10%的前提下，其计费面积由市市容环境卫生管理中心组织有关单位现场实丈并签证确认，服务区域外累计增加清扫保洁面积10000平方米（含10000平方米）的，中标人需无条件服务；累计增加超过10000平方米的，计算外扩区域服务费按外扩面积×每年合同价÷</w:t>
            </w:r>
            <w:r>
              <w:rPr>
                <w:rFonts w:hint="eastAsia"/>
                <w:color w:val="auto"/>
                <w:sz w:val="24"/>
                <w:szCs w:val="24"/>
                <w:highlight w:val="none"/>
                <w:lang w:val="en-US" w:eastAsia="zh-CN"/>
              </w:rPr>
              <w:t>5767207.60</w:t>
            </w:r>
            <w:r>
              <w:rPr>
                <w:color w:val="auto"/>
                <w:sz w:val="24"/>
                <w:szCs w:val="24"/>
                <w:highlight w:val="none"/>
              </w:rPr>
              <w:t xml:space="preserve">平方米=增加服务费，如累计增加的服务费超过合同价的10%，则按规定重新组织招标。 </w:t>
            </w:r>
          </w:p>
          <w:p w14:paraId="639B461C">
            <w:pPr>
              <w:spacing w:line="360" w:lineRule="auto"/>
              <w:jc w:val="left"/>
              <w:rPr>
                <w:color w:val="auto"/>
                <w:sz w:val="24"/>
                <w:szCs w:val="24"/>
                <w:highlight w:val="none"/>
              </w:rPr>
            </w:pPr>
            <w:r>
              <w:rPr>
                <w:color w:val="auto"/>
                <w:sz w:val="24"/>
                <w:szCs w:val="24"/>
                <w:highlight w:val="none"/>
              </w:rPr>
              <w:t>3、中标人应及时派员与普宁市市容环境卫生管理中心和原服务单位移交管理使用的压缩站、公厕，并确保正常管理使用，其水电费从合同</w:t>
            </w:r>
            <w:r>
              <w:rPr>
                <w:rFonts w:hint="eastAsia"/>
                <w:color w:val="auto"/>
                <w:sz w:val="24"/>
                <w:szCs w:val="24"/>
                <w:highlight w:val="none"/>
                <w:lang w:val="en-US" w:eastAsia="zh-CN"/>
              </w:rPr>
              <w:t>生效</w:t>
            </w:r>
            <w:r>
              <w:rPr>
                <w:color w:val="auto"/>
                <w:sz w:val="24"/>
                <w:szCs w:val="24"/>
                <w:highlight w:val="none"/>
              </w:rPr>
              <w:t>之日起计</w:t>
            </w:r>
            <w:r>
              <w:rPr>
                <w:rFonts w:hint="eastAsia"/>
                <w:color w:val="auto"/>
                <w:sz w:val="24"/>
                <w:szCs w:val="24"/>
                <w:highlight w:val="none"/>
                <w:lang w:val="en-US" w:eastAsia="zh-CN"/>
              </w:rPr>
              <w:t>算</w:t>
            </w:r>
            <w:r>
              <w:rPr>
                <w:color w:val="auto"/>
                <w:sz w:val="24"/>
                <w:szCs w:val="24"/>
                <w:highlight w:val="none"/>
              </w:rPr>
              <w:t>，由新的中标人按时足额交水电费，确保压缩站、公厕正常使用。</w:t>
            </w:r>
          </w:p>
        </w:tc>
      </w:tr>
      <w:tr w14:paraId="074FF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2EAD9925">
            <w:pPr>
              <w:spacing w:line="360" w:lineRule="auto"/>
              <w:jc w:val="center"/>
              <w:rPr>
                <w:color w:val="auto"/>
                <w:sz w:val="24"/>
                <w:szCs w:val="24"/>
                <w:highlight w:val="none"/>
              </w:rPr>
            </w:pPr>
            <w:r>
              <w:rPr>
                <w:color w:val="auto"/>
                <w:sz w:val="24"/>
                <w:szCs w:val="24"/>
                <w:highlight w:val="none"/>
              </w:rPr>
              <w:t>★</w:t>
            </w:r>
          </w:p>
        </w:tc>
        <w:tc>
          <w:tcPr>
            <w:tcW w:w="757" w:type="dxa"/>
          </w:tcPr>
          <w:p w14:paraId="542AB969">
            <w:pPr>
              <w:spacing w:line="360" w:lineRule="auto"/>
              <w:jc w:val="center"/>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2</w:t>
            </w:r>
          </w:p>
        </w:tc>
        <w:tc>
          <w:tcPr>
            <w:tcW w:w="1094" w:type="dxa"/>
            <w:shd w:val="clear" w:color="auto" w:fill="auto"/>
            <w:vAlign w:val="top"/>
          </w:tcPr>
          <w:p w14:paraId="7F91D33F">
            <w:pPr>
              <w:spacing w:line="360" w:lineRule="auto"/>
              <w:rPr>
                <w:rFonts w:asciiTheme="minorHAnsi" w:hAnsiTheme="minorHAnsi" w:eastAsiaTheme="minorEastAsia" w:cstheme="minorBidi"/>
                <w:color w:val="auto"/>
                <w:kern w:val="2"/>
                <w:sz w:val="24"/>
                <w:szCs w:val="24"/>
                <w:highlight w:val="none"/>
                <w:lang w:val="en-US" w:eastAsia="zh-CN" w:bidi="ar-SA"/>
              </w:rPr>
            </w:pPr>
            <w:r>
              <w:rPr>
                <w:rFonts w:hint="eastAsia"/>
                <w:b w:val="0"/>
                <w:bCs w:val="0"/>
                <w:color w:val="auto"/>
                <w:sz w:val="24"/>
                <w:szCs w:val="24"/>
                <w:highlight w:val="none"/>
                <w:lang w:val="en-US" w:eastAsia="zh-CN"/>
              </w:rPr>
              <w:t>开立环卫工人工资专用账户（</w:t>
            </w:r>
            <w:r>
              <w:rPr>
                <w:rFonts w:hint="eastAsia"/>
                <w:color w:val="auto"/>
                <w:sz w:val="24"/>
                <w:szCs w:val="24"/>
                <w:highlight w:val="none"/>
                <w:lang w:val="en-US" w:eastAsia="zh-CN"/>
              </w:rPr>
              <w:t>投标时需提供承诺函。）</w:t>
            </w:r>
          </w:p>
        </w:tc>
        <w:tc>
          <w:tcPr>
            <w:tcW w:w="7234" w:type="dxa"/>
            <w:shd w:val="clear" w:color="auto" w:fill="auto"/>
            <w:vAlign w:val="top"/>
          </w:tcPr>
          <w:p w14:paraId="6BBA5B08">
            <w:pPr>
              <w:numPr>
                <w:ilvl w:val="0"/>
                <w:numId w:val="0"/>
              </w:numPr>
              <w:spacing w:line="360" w:lineRule="auto"/>
              <w:ind w:leftChars="0"/>
              <w:rPr>
                <w:rFonts w:hint="eastAsia"/>
                <w:color w:val="auto"/>
                <w:sz w:val="24"/>
                <w:szCs w:val="24"/>
                <w:highlight w:val="none"/>
                <w:lang w:val="en-US" w:eastAsia="zh-CN"/>
              </w:rPr>
            </w:pPr>
            <w:r>
              <w:rPr>
                <w:rFonts w:hint="eastAsia"/>
                <w:color w:val="auto"/>
                <w:sz w:val="24"/>
                <w:szCs w:val="24"/>
                <w:highlight w:val="none"/>
                <w:lang w:val="en-US" w:eastAsia="zh-CN"/>
              </w:rPr>
              <w:t>中标人必须开立环卫工人工资专用账户，按照（普</w:t>
            </w:r>
            <w:r>
              <w:rPr>
                <w:rFonts w:hint="default"/>
                <w:color w:val="auto"/>
                <w:sz w:val="24"/>
                <w:szCs w:val="24"/>
                <w:highlight w:val="none"/>
                <w:lang w:val="en-US" w:eastAsia="zh-CN"/>
              </w:rPr>
              <w:t>环〔2025〕39号</w:t>
            </w:r>
            <w:r>
              <w:rPr>
                <w:rFonts w:hint="eastAsia"/>
                <w:color w:val="auto"/>
                <w:sz w:val="24"/>
                <w:szCs w:val="24"/>
                <w:highlight w:val="none"/>
                <w:lang w:val="en-US" w:eastAsia="zh-CN"/>
              </w:rPr>
              <w:t>）关于转发《关于在全市环卫领域推行环卫工人工资</w:t>
            </w:r>
            <w:r>
              <w:rPr>
                <w:rFonts w:hint="default"/>
                <w:color w:val="auto"/>
                <w:sz w:val="24"/>
                <w:szCs w:val="24"/>
                <w:highlight w:val="none"/>
                <w:lang w:val="en-US" w:eastAsia="zh-CN"/>
              </w:rPr>
              <w:t>专用账户制度的通知》</w:t>
            </w:r>
            <w:r>
              <w:rPr>
                <w:rFonts w:hint="eastAsia"/>
                <w:color w:val="auto"/>
                <w:sz w:val="24"/>
                <w:szCs w:val="24"/>
                <w:highlight w:val="none"/>
                <w:lang w:val="en-US" w:eastAsia="zh-CN"/>
              </w:rPr>
              <w:t>的要求执行。若政府部门出台新的相关政策，则按最新的要求执行。</w:t>
            </w:r>
          </w:p>
          <w:p w14:paraId="4A1EA7F9">
            <w:pPr>
              <w:numPr>
                <w:ilvl w:val="0"/>
                <w:numId w:val="0"/>
              </w:numPr>
              <w:spacing w:line="360" w:lineRule="auto"/>
              <w:ind w:leftChars="0"/>
              <w:rPr>
                <w:rFonts w:hint="eastAsia"/>
                <w:color w:val="auto"/>
                <w:sz w:val="24"/>
                <w:szCs w:val="24"/>
                <w:highlight w:val="none"/>
                <w:lang w:val="en-US" w:eastAsia="zh-CN"/>
              </w:rPr>
            </w:pPr>
            <w:r>
              <w:rPr>
                <w:rFonts w:hint="eastAsia"/>
                <w:color w:val="auto"/>
                <w:sz w:val="24"/>
                <w:szCs w:val="24"/>
                <w:highlight w:val="none"/>
                <w:lang w:val="en-US" w:eastAsia="zh-CN"/>
              </w:rPr>
              <w:t>（1）、账户开立与管理</w:t>
            </w:r>
          </w:p>
          <w:p w14:paraId="0991EFE7">
            <w:pPr>
              <w:numPr>
                <w:ilvl w:val="0"/>
                <w:numId w:val="0"/>
              </w:numPr>
              <w:spacing w:line="360" w:lineRule="auto"/>
              <w:ind w:leftChars="0"/>
              <w:rPr>
                <w:rFonts w:hint="eastAsia"/>
                <w:color w:val="auto"/>
                <w:sz w:val="24"/>
                <w:szCs w:val="24"/>
                <w:highlight w:val="none"/>
                <w:lang w:val="en-US" w:eastAsia="zh-CN"/>
              </w:rPr>
            </w:pPr>
            <w:r>
              <w:rPr>
                <w:rFonts w:hint="eastAsia"/>
                <w:color w:val="auto"/>
                <w:sz w:val="24"/>
                <w:szCs w:val="24"/>
                <w:highlight w:val="none"/>
                <w:lang w:val="en-US" w:eastAsia="zh-CN"/>
              </w:rPr>
              <w:t>中标人应当在合同签订之日起30日内到相关金融机构开立环卫工人工资专用账户，并与采购人、开户银行签订资金管理第三方协议。中标人在专用账户开立后的5个工作日内报当地环卫主管部门备案。专用账户资金专用于支付本环卫作业标段在招用的环卫工人工资。</w:t>
            </w:r>
          </w:p>
          <w:p w14:paraId="42B10EB4">
            <w:pPr>
              <w:keepNext w:val="0"/>
              <w:keepLines w:val="0"/>
              <w:widowControl/>
              <w:suppressLineNumbers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（2）、合同约定与费用支付</w:t>
            </w:r>
          </w:p>
          <w:p w14:paraId="38A638A4">
            <w:pPr>
              <w:keepNext w:val="0"/>
              <w:keepLines w:val="0"/>
              <w:widowControl/>
              <w:suppressLineNumbers w:val="0"/>
              <w:spacing w:line="360" w:lineRule="auto"/>
              <w:jc w:val="left"/>
              <w:rPr>
                <w:rFonts w:hint="default"/>
                <w:color w:val="auto"/>
                <w:sz w:val="24"/>
                <w:szCs w:val="24"/>
                <w:highlight w:val="none"/>
                <w:lang w:val="en-US" w:eastAsia="zh-CN"/>
              </w:rPr>
            </w:pPr>
            <w:r>
              <w:rPr>
                <w:rFonts w:hint="eastAsia"/>
                <w:color w:val="auto"/>
                <w:sz w:val="24"/>
                <w:szCs w:val="24"/>
                <w:highlight w:val="none"/>
                <w:lang w:val="en-US" w:eastAsia="zh-CN"/>
              </w:rPr>
              <w:t>中标人与采购人签订合同时，要参考招标人工费用测算，明确环卫工人工资占运营服务费的比例。采购人需将工资费用按时支付到专用账户，中标人收到费用后，应及时通过银行转账将工资发放至环卫工人个人实名银行账户。若因用工量增加等原因导致账户余额不足，中标人可与采购人签订补充协议调整工资费用比例，并通知开户银行。</w:t>
            </w:r>
          </w:p>
          <w:p w14:paraId="0CFDBB6F">
            <w:pPr>
              <w:keepNext w:val="0"/>
              <w:keepLines w:val="0"/>
              <w:widowControl/>
              <w:suppressLineNumbers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（3）、账户撤销流程</w:t>
            </w:r>
          </w:p>
          <w:p w14:paraId="3DB2E5C0">
            <w:pPr>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当中标人服务期结束或中途撤出时，需撤销专用账户的，须先经采购人确认无拖欠工资情况，之后开户银行依据主管部门意见办理撤销手续，账户余额可由中标人作其他用途。</w:t>
            </w:r>
          </w:p>
        </w:tc>
      </w:tr>
      <w:tr w14:paraId="5F1A3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2BB2663A">
            <w:pPr>
              <w:spacing w:line="360" w:lineRule="auto"/>
              <w:jc w:val="center"/>
              <w:rPr>
                <w:color w:val="auto"/>
                <w:sz w:val="24"/>
                <w:szCs w:val="24"/>
                <w:highlight w:val="none"/>
              </w:rPr>
            </w:pPr>
          </w:p>
        </w:tc>
        <w:tc>
          <w:tcPr>
            <w:tcW w:w="757" w:type="dxa"/>
          </w:tcPr>
          <w:p w14:paraId="12DA320A">
            <w:pPr>
              <w:spacing w:line="360" w:lineRule="auto"/>
              <w:jc w:val="center"/>
              <w:rPr>
                <w:rFonts w:hint="eastAsia" w:eastAsiaTheme="minorEastAsia"/>
                <w:color w:val="auto"/>
                <w:sz w:val="24"/>
                <w:szCs w:val="24"/>
                <w:highlight w:val="none"/>
                <w:lang w:eastAsia="zh-CN"/>
              </w:rPr>
            </w:pPr>
            <w:r>
              <w:rPr>
                <w:rFonts w:hint="eastAsia"/>
                <w:color w:val="auto"/>
                <w:sz w:val="24"/>
                <w:szCs w:val="24"/>
                <w:highlight w:val="none"/>
                <w:lang w:val="en-US" w:eastAsia="zh-CN"/>
              </w:rPr>
              <w:t>3</w:t>
            </w:r>
          </w:p>
        </w:tc>
        <w:tc>
          <w:tcPr>
            <w:tcW w:w="1094" w:type="dxa"/>
          </w:tcPr>
          <w:p w14:paraId="013ECD7A">
            <w:pPr>
              <w:spacing w:line="360" w:lineRule="auto"/>
              <w:jc w:val="left"/>
              <w:rPr>
                <w:color w:val="auto"/>
                <w:sz w:val="24"/>
                <w:szCs w:val="24"/>
                <w:highlight w:val="none"/>
              </w:rPr>
            </w:pPr>
            <w:r>
              <w:rPr>
                <w:color w:val="auto"/>
                <w:sz w:val="24"/>
                <w:szCs w:val="24"/>
                <w:highlight w:val="none"/>
              </w:rPr>
              <w:t>本采购包承包期</w:t>
            </w:r>
          </w:p>
        </w:tc>
        <w:tc>
          <w:tcPr>
            <w:tcW w:w="7234" w:type="dxa"/>
          </w:tcPr>
          <w:p w14:paraId="03BC55FD">
            <w:pPr>
              <w:spacing w:line="360" w:lineRule="auto"/>
              <w:jc w:val="left"/>
              <w:rPr>
                <w:color w:val="auto"/>
                <w:sz w:val="24"/>
                <w:szCs w:val="24"/>
                <w:highlight w:val="none"/>
              </w:rPr>
            </w:pPr>
            <w:r>
              <w:rPr>
                <w:color w:val="auto"/>
                <w:sz w:val="24"/>
                <w:szCs w:val="24"/>
                <w:highlight w:val="none"/>
              </w:rPr>
              <w:t>本采购包承包期：3年。中标人须在签订政府采购合同前向采购人提交业务交接方案。因本项目实际情况，中标人应当自《中标通知书》发出之日起</w:t>
            </w:r>
            <w:r>
              <w:rPr>
                <w:rFonts w:hint="eastAsia"/>
                <w:strike w:val="0"/>
                <w:dstrike w:val="0"/>
                <w:color w:val="auto"/>
                <w:sz w:val="24"/>
                <w:szCs w:val="24"/>
                <w:highlight w:val="none"/>
                <w:lang w:val="en-US" w:eastAsia="zh-CN"/>
              </w:rPr>
              <w:t>20个日历天内</w:t>
            </w:r>
            <w:r>
              <w:rPr>
                <w:color w:val="auto"/>
                <w:sz w:val="24"/>
                <w:szCs w:val="24"/>
                <w:highlight w:val="none"/>
              </w:rPr>
              <w:t>（本要求若与本招标文件其他地方有冲突，以本要求为准），按照招标文件与中标供应商投标文件的约定与采购人签订合同，所签订的合同不得对招标文件做实质性修改。业务交接方案经采购人确认后，须在政府采购合同签订生效之日起5个日历天内完成全部交接工作和进场开展工作，并保证做好与采购人的交接工作。</w:t>
            </w:r>
          </w:p>
        </w:tc>
      </w:tr>
      <w:tr w14:paraId="134CE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2FF5F89D">
            <w:pPr>
              <w:spacing w:line="360" w:lineRule="auto"/>
              <w:jc w:val="center"/>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说明</w:t>
            </w:r>
          </w:p>
        </w:tc>
        <w:tc>
          <w:tcPr>
            <w:tcW w:w="9085" w:type="dxa"/>
            <w:gridSpan w:val="3"/>
          </w:tcPr>
          <w:p w14:paraId="378CB331">
            <w:pPr>
              <w:spacing w:line="360" w:lineRule="auto"/>
              <w:jc w:val="left"/>
              <w:rPr>
                <w:color w:val="auto"/>
                <w:sz w:val="24"/>
                <w:szCs w:val="24"/>
                <w:highlight w:val="none"/>
              </w:rPr>
            </w:pPr>
            <w:r>
              <w:rPr>
                <w:color w:val="auto"/>
                <w:sz w:val="24"/>
                <w:szCs w:val="24"/>
                <w:highlight w:val="none"/>
              </w:rPr>
              <w:t>打“★”号条款为实质性条款，若有任何一条负偏离或不满足则导致投标（响应）无效。</w:t>
            </w:r>
            <w:r>
              <w:rPr>
                <w:color w:val="auto"/>
                <w:sz w:val="24"/>
                <w:szCs w:val="24"/>
                <w:highlight w:val="none"/>
              </w:rPr>
              <w:br w:type="textWrapping"/>
            </w:r>
            <w:r>
              <w:rPr>
                <w:color w:val="auto"/>
                <w:sz w:val="24"/>
                <w:szCs w:val="24"/>
                <w:highlight w:val="none"/>
              </w:rPr>
              <w:t>打“▲”号条款为重要参数（如有），若有部分“▲”条款未响应或不满足，将根据评审要求影响其得分，但不作为无效投标（响应）条款。</w:t>
            </w:r>
          </w:p>
        </w:tc>
      </w:tr>
    </w:tbl>
    <w:p w14:paraId="77EBF780">
      <w:pPr>
        <w:spacing w:line="360" w:lineRule="auto"/>
        <w:rPr>
          <w:color w:val="auto"/>
          <w:sz w:val="24"/>
          <w:szCs w:val="24"/>
          <w:highlight w:val="none"/>
        </w:rPr>
      </w:pPr>
    </w:p>
    <w:p w14:paraId="1963A086">
      <w:pPr>
        <w:spacing w:line="360" w:lineRule="auto"/>
        <w:rPr>
          <w:color w:val="auto"/>
          <w:sz w:val="24"/>
          <w:szCs w:val="24"/>
          <w:highlight w:val="none"/>
        </w:rPr>
      </w:pPr>
      <w:r>
        <w:rPr>
          <w:b/>
          <w:color w:val="auto"/>
          <w:sz w:val="24"/>
          <w:szCs w:val="24"/>
          <w:highlight w:val="none"/>
        </w:rPr>
        <w:t>2.技术标准与要求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7"/>
        <w:gridCol w:w="943"/>
        <w:gridCol w:w="1732"/>
        <w:gridCol w:w="665"/>
        <w:gridCol w:w="683"/>
        <w:gridCol w:w="1730"/>
        <w:gridCol w:w="1676"/>
        <w:gridCol w:w="1107"/>
        <w:gridCol w:w="773"/>
      </w:tblGrid>
      <w:tr w14:paraId="1317E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38B64D00">
            <w:pPr>
              <w:spacing w:line="360" w:lineRule="auto"/>
              <w:jc w:val="center"/>
              <w:rPr>
                <w:color w:val="auto"/>
                <w:sz w:val="24"/>
                <w:szCs w:val="24"/>
                <w:highlight w:val="none"/>
              </w:rPr>
            </w:pPr>
            <w:r>
              <w:rPr>
                <w:color w:val="auto"/>
                <w:sz w:val="24"/>
                <w:szCs w:val="24"/>
                <w:highlight w:val="none"/>
              </w:rPr>
              <w:t>序号</w:t>
            </w:r>
          </w:p>
        </w:tc>
        <w:tc>
          <w:tcPr>
            <w:tcW w:w="943" w:type="dxa"/>
          </w:tcPr>
          <w:p w14:paraId="31F14742">
            <w:pPr>
              <w:spacing w:line="360" w:lineRule="auto"/>
              <w:jc w:val="center"/>
              <w:rPr>
                <w:color w:val="auto"/>
                <w:sz w:val="24"/>
                <w:szCs w:val="24"/>
                <w:highlight w:val="none"/>
              </w:rPr>
            </w:pPr>
            <w:r>
              <w:rPr>
                <w:color w:val="auto"/>
                <w:sz w:val="24"/>
                <w:szCs w:val="24"/>
                <w:highlight w:val="none"/>
              </w:rPr>
              <w:t>品目名称</w:t>
            </w:r>
          </w:p>
        </w:tc>
        <w:tc>
          <w:tcPr>
            <w:tcW w:w="1732" w:type="dxa"/>
          </w:tcPr>
          <w:p w14:paraId="777CBC93">
            <w:pPr>
              <w:spacing w:line="360" w:lineRule="auto"/>
              <w:jc w:val="center"/>
              <w:rPr>
                <w:color w:val="auto"/>
                <w:sz w:val="24"/>
                <w:szCs w:val="24"/>
                <w:highlight w:val="none"/>
              </w:rPr>
            </w:pPr>
            <w:r>
              <w:rPr>
                <w:color w:val="auto"/>
                <w:sz w:val="24"/>
                <w:szCs w:val="24"/>
                <w:highlight w:val="none"/>
              </w:rPr>
              <w:t>标的名称</w:t>
            </w:r>
          </w:p>
        </w:tc>
        <w:tc>
          <w:tcPr>
            <w:tcW w:w="665" w:type="dxa"/>
          </w:tcPr>
          <w:p w14:paraId="7F84195F">
            <w:pPr>
              <w:spacing w:line="360" w:lineRule="auto"/>
              <w:jc w:val="center"/>
              <w:rPr>
                <w:color w:val="auto"/>
                <w:sz w:val="24"/>
                <w:szCs w:val="24"/>
                <w:highlight w:val="none"/>
              </w:rPr>
            </w:pPr>
            <w:r>
              <w:rPr>
                <w:color w:val="auto"/>
                <w:sz w:val="24"/>
                <w:szCs w:val="24"/>
                <w:highlight w:val="none"/>
              </w:rPr>
              <w:t>单位</w:t>
            </w:r>
          </w:p>
        </w:tc>
        <w:tc>
          <w:tcPr>
            <w:tcW w:w="683" w:type="dxa"/>
          </w:tcPr>
          <w:p w14:paraId="6B4DB5B9">
            <w:pPr>
              <w:spacing w:line="360" w:lineRule="auto"/>
              <w:jc w:val="center"/>
              <w:rPr>
                <w:color w:val="auto"/>
                <w:sz w:val="24"/>
                <w:szCs w:val="24"/>
                <w:highlight w:val="none"/>
              </w:rPr>
            </w:pPr>
            <w:r>
              <w:rPr>
                <w:color w:val="auto"/>
                <w:sz w:val="24"/>
                <w:szCs w:val="24"/>
                <w:highlight w:val="none"/>
              </w:rPr>
              <w:t>数量</w:t>
            </w:r>
          </w:p>
        </w:tc>
        <w:tc>
          <w:tcPr>
            <w:tcW w:w="1730" w:type="dxa"/>
          </w:tcPr>
          <w:p w14:paraId="6FDE68AC">
            <w:pPr>
              <w:spacing w:line="360" w:lineRule="auto"/>
              <w:jc w:val="center"/>
              <w:rPr>
                <w:color w:val="auto"/>
                <w:sz w:val="24"/>
                <w:szCs w:val="24"/>
                <w:highlight w:val="none"/>
              </w:rPr>
            </w:pPr>
            <w:r>
              <w:rPr>
                <w:color w:val="auto"/>
                <w:sz w:val="24"/>
                <w:szCs w:val="24"/>
                <w:highlight w:val="none"/>
              </w:rPr>
              <w:t>分项预算单价（元）</w:t>
            </w:r>
          </w:p>
        </w:tc>
        <w:tc>
          <w:tcPr>
            <w:tcW w:w="1676" w:type="dxa"/>
          </w:tcPr>
          <w:p w14:paraId="2F4ACFD8">
            <w:pPr>
              <w:spacing w:line="360" w:lineRule="auto"/>
              <w:jc w:val="center"/>
              <w:rPr>
                <w:color w:val="auto"/>
                <w:sz w:val="24"/>
                <w:szCs w:val="24"/>
                <w:highlight w:val="none"/>
              </w:rPr>
            </w:pPr>
            <w:r>
              <w:rPr>
                <w:color w:val="auto"/>
                <w:sz w:val="24"/>
                <w:szCs w:val="24"/>
                <w:highlight w:val="none"/>
              </w:rPr>
              <w:t>分项预算总价（元）</w:t>
            </w:r>
          </w:p>
        </w:tc>
        <w:tc>
          <w:tcPr>
            <w:tcW w:w="1107" w:type="dxa"/>
          </w:tcPr>
          <w:p w14:paraId="41075EF1">
            <w:pPr>
              <w:spacing w:line="360" w:lineRule="auto"/>
              <w:rPr>
                <w:color w:val="auto"/>
                <w:sz w:val="24"/>
                <w:szCs w:val="24"/>
                <w:highlight w:val="none"/>
              </w:rPr>
            </w:pPr>
            <w:r>
              <w:rPr>
                <w:color w:val="auto"/>
                <w:sz w:val="24"/>
                <w:szCs w:val="24"/>
                <w:highlight w:val="none"/>
              </w:rPr>
              <w:t>所属行业</w:t>
            </w:r>
          </w:p>
        </w:tc>
        <w:tc>
          <w:tcPr>
            <w:tcW w:w="773" w:type="dxa"/>
          </w:tcPr>
          <w:p w14:paraId="1F9EA165">
            <w:pPr>
              <w:spacing w:line="360" w:lineRule="auto"/>
              <w:jc w:val="center"/>
              <w:rPr>
                <w:color w:val="auto"/>
                <w:sz w:val="24"/>
                <w:szCs w:val="24"/>
                <w:highlight w:val="none"/>
              </w:rPr>
            </w:pPr>
            <w:r>
              <w:rPr>
                <w:color w:val="auto"/>
                <w:sz w:val="24"/>
                <w:szCs w:val="24"/>
                <w:highlight w:val="none"/>
              </w:rPr>
              <w:t>技术要求</w:t>
            </w:r>
          </w:p>
        </w:tc>
      </w:tr>
      <w:tr w14:paraId="445D9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3C27FFD5">
            <w:pPr>
              <w:spacing w:line="360" w:lineRule="auto"/>
              <w:jc w:val="center"/>
              <w:rPr>
                <w:color w:val="auto"/>
                <w:sz w:val="24"/>
                <w:szCs w:val="24"/>
                <w:highlight w:val="none"/>
              </w:rPr>
            </w:pPr>
            <w:r>
              <w:rPr>
                <w:color w:val="auto"/>
                <w:sz w:val="24"/>
                <w:szCs w:val="24"/>
                <w:highlight w:val="none"/>
              </w:rPr>
              <w:t>1</w:t>
            </w:r>
          </w:p>
        </w:tc>
        <w:tc>
          <w:tcPr>
            <w:tcW w:w="943" w:type="dxa"/>
          </w:tcPr>
          <w:p w14:paraId="18473409">
            <w:pPr>
              <w:spacing w:line="360" w:lineRule="auto"/>
              <w:jc w:val="left"/>
              <w:rPr>
                <w:color w:val="auto"/>
                <w:sz w:val="24"/>
                <w:szCs w:val="24"/>
                <w:highlight w:val="none"/>
              </w:rPr>
            </w:pPr>
            <w:r>
              <w:rPr>
                <w:color w:val="auto"/>
                <w:sz w:val="24"/>
                <w:szCs w:val="24"/>
                <w:highlight w:val="none"/>
              </w:rPr>
              <w:t>城镇公共卫生服务</w:t>
            </w:r>
          </w:p>
        </w:tc>
        <w:tc>
          <w:tcPr>
            <w:tcW w:w="1732" w:type="dxa"/>
          </w:tcPr>
          <w:p w14:paraId="523F13D6">
            <w:pPr>
              <w:spacing w:line="360" w:lineRule="auto"/>
              <w:jc w:val="left"/>
              <w:rPr>
                <w:color w:val="auto"/>
                <w:sz w:val="24"/>
                <w:szCs w:val="24"/>
                <w:highlight w:val="none"/>
              </w:rPr>
            </w:pPr>
            <w:r>
              <w:rPr>
                <w:color w:val="auto"/>
                <w:sz w:val="24"/>
                <w:szCs w:val="24"/>
                <w:highlight w:val="none"/>
              </w:rPr>
              <w:t>普宁市市区环卫作业外包服务（西片区）</w:t>
            </w:r>
          </w:p>
        </w:tc>
        <w:tc>
          <w:tcPr>
            <w:tcW w:w="665" w:type="dxa"/>
          </w:tcPr>
          <w:p w14:paraId="1B6040A9">
            <w:pPr>
              <w:spacing w:line="360" w:lineRule="auto"/>
              <w:jc w:val="center"/>
              <w:rPr>
                <w:color w:val="auto"/>
                <w:sz w:val="24"/>
                <w:szCs w:val="24"/>
                <w:highlight w:val="none"/>
              </w:rPr>
            </w:pPr>
            <w:r>
              <w:rPr>
                <w:color w:val="auto"/>
                <w:sz w:val="24"/>
                <w:szCs w:val="24"/>
                <w:highlight w:val="none"/>
              </w:rPr>
              <w:t>年</w:t>
            </w:r>
          </w:p>
        </w:tc>
        <w:tc>
          <w:tcPr>
            <w:tcW w:w="683" w:type="dxa"/>
          </w:tcPr>
          <w:p w14:paraId="710C033F">
            <w:pPr>
              <w:spacing w:line="360" w:lineRule="auto"/>
              <w:jc w:val="center"/>
              <w:rPr>
                <w:color w:val="auto"/>
                <w:sz w:val="24"/>
                <w:szCs w:val="24"/>
                <w:highlight w:val="none"/>
              </w:rPr>
            </w:pPr>
            <w:r>
              <w:rPr>
                <w:color w:val="auto"/>
                <w:sz w:val="24"/>
                <w:szCs w:val="24"/>
                <w:highlight w:val="none"/>
              </w:rPr>
              <w:t>3.00</w:t>
            </w:r>
          </w:p>
        </w:tc>
        <w:tc>
          <w:tcPr>
            <w:tcW w:w="1730" w:type="dxa"/>
          </w:tcPr>
          <w:p w14:paraId="1ADDAFE5">
            <w:pPr>
              <w:spacing w:line="360" w:lineRule="auto"/>
              <w:jc w:val="center"/>
              <w:rPr>
                <w:rFonts w:hint="eastAsia" w:eastAsiaTheme="minorEastAsia"/>
                <w:color w:val="auto"/>
                <w:sz w:val="24"/>
                <w:szCs w:val="24"/>
                <w:highlight w:val="none"/>
                <w:lang w:eastAsia="zh-CN"/>
              </w:rPr>
            </w:pPr>
            <w:r>
              <w:rPr>
                <w:rFonts w:hint="eastAsia"/>
                <w:color w:val="auto"/>
                <w:sz w:val="24"/>
                <w:szCs w:val="24"/>
                <w:highlight w:val="none"/>
                <w:lang w:eastAsia="zh-CN"/>
              </w:rPr>
              <w:t>47100842.09</w:t>
            </w:r>
          </w:p>
        </w:tc>
        <w:tc>
          <w:tcPr>
            <w:tcW w:w="1676" w:type="dxa"/>
          </w:tcPr>
          <w:p w14:paraId="47705DC2">
            <w:pPr>
              <w:spacing w:line="360" w:lineRule="auto"/>
              <w:jc w:val="center"/>
              <w:rPr>
                <w:rFonts w:hint="eastAsia" w:eastAsiaTheme="minorEastAsia"/>
                <w:color w:val="auto"/>
                <w:sz w:val="24"/>
                <w:szCs w:val="24"/>
                <w:highlight w:val="none"/>
                <w:lang w:eastAsia="zh-CN"/>
              </w:rPr>
            </w:pPr>
            <w:r>
              <w:rPr>
                <w:rFonts w:hint="eastAsia"/>
                <w:color w:val="auto"/>
                <w:sz w:val="24"/>
                <w:szCs w:val="24"/>
                <w:highlight w:val="none"/>
                <w:lang w:eastAsia="zh-CN"/>
              </w:rPr>
              <w:t>141302526.27</w:t>
            </w:r>
          </w:p>
        </w:tc>
        <w:tc>
          <w:tcPr>
            <w:tcW w:w="1107" w:type="dxa"/>
          </w:tcPr>
          <w:p w14:paraId="75EA97ED">
            <w:pPr>
              <w:spacing w:line="360" w:lineRule="auto"/>
              <w:rPr>
                <w:color w:val="auto"/>
                <w:sz w:val="24"/>
                <w:szCs w:val="24"/>
                <w:highlight w:val="none"/>
              </w:rPr>
            </w:pPr>
            <w:r>
              <w:rPr>
                <w:color w:val="auto"/>
                <w:sz w:val="24"/>
                <w:szCs w:val="24"/>
                <w:highlight w:val="none"/>
              </w:rPr>
              <w:t>其他未列明行业</w:t>
            </w:r>
          </w:p>
        </w:tc>
        <w:tc>
          <w:tcPr>
            <w:tcW w:w="773" w:type="dxa"/>
          </w:tcPr>
          <w:p w14:paraId="0849E73B">
            <w:pPr>
              <w:spacing w:line="360" w:lineRule="auto"/>
              <w:rPr>
                <w:color w:val="auto"/>
                <w:sz w:val="24"/>
                <w:szCs w:val="24"/>
                <w:highlight w:val="none"/>
              </w:rPr>
            </w:pPr>
            <w:r>
              <w:rPr>
                <w:color w:val="auto"/>
                <w:sz w:val="24"/>
                <w:szCs w:val="24"/>
                <w:highlight w:val="none"/>
              </w:rPr>
              <w:t>详见附表一</w:t>
            </w:r>
          </w:p>
        </w:tc>
      </w:tr>
    </w:tbl>
    <w:p w14:paraId="7C0F2E83">
      <w:pPr>
        <w:spacing w:line="360" w:lineRule="auto"/>
        <w:rPr>
          <w:color w:val="auto"/>
          <w:sz w:val="24"/>
          <w:szCs w:val="24"/>
          <w:highlight w:val="none"/>
        </w:rPr>
      </w:pPr>
      <w:r>
        <w:rPr>
          <w:b/>
          <w:color w:val="auto"/>
          <w:sz w:val="24"/>
          <w:szCs w:val="24"/>
          <w:highlight w:val="none"/>
        </w:rPr>
        <w:t>附表一：普宁市市区环卫作业外包服务（西片区）</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673"/>
        <w:gridCol w:w="8109"/>
      </w:tblGrid>
      <w:tr w14:paraId="4AF0C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141C6F12">
            <w:pPr>
              <w:spacing w:line="360" w:lineRule="auto"/>
              <w:rPr>
                <w:color w:val="auto"/>
                <w:sz w:val="24"/>
                <w:szCs w:val="24"/>
                <w:highlight w:val="none"/>
              </w:rPr>
            </w:pPr>
            <w:r>
              <w:rPr>
                <w:color w:val="auto"/>
                <w:sz w:val="24"/>
                <w:szCs w:val="24"/>
                <w:highlight w:val="none"/>
              </w:rPr>
              <w:t>参数性质</w:t>
            </w:r>
          </w:p>
        </w:tc>
        <w:tc>
          <w:tcPr>
            <w:tcW w:w="673" w:type="dxa"/>
          </w:tcPr>
          <w:p w14:paraId="316E5C67">
            <w:pPr>
              <w:spacing w:line="360" w:lineRule="auto"/>
              <w:rPr>
                <w:color w:val="auto"/>
                <w:sz w:val="24"/>
                <w:szCs w:val="24"/>
                <w:highlight w:val="none"/>
              </w:rPr>
            </w:pPr>
            <w:r>
              <w:rPr>
                <w:color w:val="auto"/>
                <w:sz w:val="24"/>
                <w:szCs w:val="24"/>
                <w:highlight w:val="none"/>
              </w:rPr>
              <w:t>序号</w:t>
            </w:r>
          </w:p>
        </w:tc>
        <w:tc>
          <w:tcPr>
            <w:tcW w:w="8109" w:type="dxa"/>
          </w:tcPr>
          <w:p w14:paraId="5B1029E2">
            <w:pPr>
              <w:spacing w:line="360" w:lineRule="auto"/>
              <w:rPr>
                <w:color w:val="auto"/>
                <w:sz w:val="24"/>
                <w:szCs w:val="24"/>
                <w:highlight w:val="none"/>
              </w:rPr>
            </w:pPr>
            <w:r>
              <w:rPr>
                <w:color w:val="auto"/>
                <w:sz w:val="24"/>
                <w:szCs w:val="24"/>
                <w:highlight w:val="none"/>
              </w:rPr>
              <w:t>具体技术(参数)要求</w:t>
            </w:r>
          </w:p>
        </w:tc>
      </w:tr>
      <w:tr w14:paraId="30246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1D3D15FD">
            <w:pPr>
              <w:spacing w:line="360" w:lineRule="auto"/>
              <w:rPr>
                <w:color w:val="auto"/>
                <w:sz w:val="24"/>
                <w:szCs w:val="24"/>
                <w:highlight w:val="none"/>
              </w:rPr>
            </w:pPr>
          </w:p>
        </w:tc>
        <w:tc>
          <w:tcPr>
            <w:tcW w:w="673" w:type="dxa"/>
          </w:tcPr>
          <w:p w14:paraId="079E6A73">
            <w:pPr>
              <w:spacing w:line="360" w:lineRule="auto"/>
              <w:rPr>
                <w:color w:val="auto"/>
                <w:sz w:val="24"/>
                <w:szCs w:val="24"/>
                <w:highlight w:val="none"/>
              </w:rPr>
            </w:pPr>
            <w:r>
              <w:rPr>
                <w:color w:val="auto"/>
                <w:sz w:val="24"/>
                <w:szCs w:val="24"/>
                <w:highlight w:val="none"/>
              </w:rPr>
              <w:t>1</w:t>
            </w:r>
          </w:p>
        </w:tc>
        <w:tc>
          <w:tcPr>
            <w:tcW w:w="8109" w:type="dxa"/>
          </w:tcPr>
          <w:p w14:paraId="0681A723">
            <w:pPr>
              <w:spacing w:line="360" w:lineRule="auto"/>
              <w:jc w:val="left"/>
              <w:rPr>
                <w:color w:val="auto"/>
                <w:sz w:val="24"/>
                <w:szCs w:val="24"/>
                <w:highlight w:val="none"/>
              </w:rPr>
            </w:pPr>
            <w:r>
              <w:rPr>
                <w:b/>
                <w:color w:val="auto"/>
                <w:sz w:val="24"/>
                <w:szCs w:val="24"/>
                <w:highlight w:val="none"/>
              </w:rPr>
              <w:t>服务范围：</w:t>
            </w:r>
          </w:p>
          <w:p w14:paraId="004DDCC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普宁市市区环卫作业外包西片区服务区域四至</w:t>
            </w:r>
            <w:r>
              <w:rPr>
                <w:rFonts w:hint="eastAsia"/>
                <w:color w:val="auto"/>
                <w:sz w:val="24"/>
                <w:szCs w:val="24"/>
                <w:highlight w:val="none"/>
              </w:rPr>
              <w:t>：池揭路以东</w:t>
            </w:r>
            <w:r>
              <w:rPr>
                <w:rFonts w:hint="eastAsia"/>
                <w:color w:val="auto"/>
                <w:sz w:val="24"/>
                <w:szCs w:val="24"/>
                <w:highlight w:val="none"/>
                <w:lang w:eastAsia="zh-CN"/>
              </w:rPr>
              <w:t>（</w:t>
            </w:r>
            <w:r>
              <w:rPr>
                <w:rFonts w:hint="eastAsia"/>
                <w:color w:val="auto"/>
                <w:sz w:val="24"/>
                <w:szCs w:val="24"/>
                <w:highlight w:val="none"/>
                <w:lang w:val="en-US" w:eastAsia="zh-CN"/>
              </w:rPr>
              <w:t>包括科技工业园</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lang w:val="en-US" w:eastAsia="zh-CN"/>
              </w:rPr>
              <w:t>环北路以南，新河西路、玉华路（含玉华路）以西，普宁大道以北及北二环、环市西路、普益大道（星河寒妈水库坝大门至大坝交界）等部分外围主要道路</w:t>
            </w:r>
            <w:r>
              <w:rPr>
                <w:rFonts w:hint="eastAsia"/>
                <w:color w:val="auto"/>
                <w:sz w:val="24"/>
                <w:szCs w:val="24"/>
                <w:highlight w:val="none"/>
              </w:rPr>
              <w:t>。服务范围主要是道路、居民区、公园广场</w:t>
            </w:r>
            <w:r>
              <w:rPr>
                <w:rFonts w:hint="eastAsia"/>
                <w:color w:val="auto"/>
                <w:sz w:val="24"/>
                <w:szCs w:val="24"/>
                <w:highlight w:val="none"/>
                <w:lang w:eastAsia="zh-CN"/>
              </w:rPr>
              <w:t>、</w:t>
            </w:r>
            <w:r>
              <w:rPr>
                <w:rFonts w:hint="eastAsia"/>
                <w:color w:val="auto"/>
                <w:sz w:val="24"/>
                <w:szCs w:val="24"/>
                <w:highlight w:val="none"/>
                <w:lang w:val="en-US" w:eastAsia="zh-CN"/>
              </w:rPr>
              <w:t>临时集市、绿地</w:t>
            </w:r>
            <w:r>
              <w:rPr>
                <w:rFonts w:hint="eastAsia"/>
                <w:color w:val="auto"/>
                <w:sz w:val="24"/>
                <w:szCs w:val="24"/>
                <w:highlight w:val="none"/>
              </w:rPr>
              <w:t>，公厕</w:t>
            </w:r>
            <w:r>
              <w:rPr>
                <w:rFonts w:hint="eastAsia"/>
                <w:color w:val="auto"/>
                <w:sz w:val="24"/>
                <w:szCs w:val="24"/>
                <w:highlight w:val="none"/>
                <w:lang w:val="en-US" w:eastAsia="zh-CN"/>
              </w:rPr>
              <w:t>16</w:t>
            </w:r>
            <w:r>
              <w:rPr>
                <w:rFonts w:hint="eastAsia"/>
                <w:color w:val="auto"/>
                <w:sz w:val="24"/>
                <w:szCs w:val="24"/>
                <w:highlight w:val="none"/>
              </w:rPr>
              <w:t>座，</w:t>
            </w:r>
            <w:r>
              <w:rPr>
                <w:rFonts w:hint="eastAsia"/>
                <w:color w:val="auto"/>
                <w:sz w:val="24"/>
                <w:szCs w:val="24"/>
                <w:highlight w:val="none"/>
                <w:lang w:val="en-US" w:eastAsia="zh-CN"/>
              </w:rPr>
              <w:t>生活垃圾</w:t>
            </w:r>
            <w:r>
              <w:rPr>
                <w:rFonts w:hint="eastAsia"/>
                <w:color w:val="auto"/>
                <w:sz w:val="24"/>
                <w:szCs w:val="24"/>
                <w:highlight w:val="none"/>
                <w:lang w:eastAsia="zh-CN"/>
              </w:rPr>
              <w:t>压缩中转站</w:t>
            </w:r>
            <w:r>
              <w:rPr>
                <w:rFonts w:hint="eastAsia"/>
                <w:color w:val="auto"/>
                <w:sz w:val="24"/>
                <w:szCs w:val="24"/>
                <w:highlight w:val="none"/>
                <w:lang w:val="en-US" w:eastAsia="zh-CN"/>
              </w:rPr>
              <w:t>16</w:t>
            </w:r>
            <w:r>
              <w:rPr>
                <w:rFonts w:hint="eastAsia"/>
                <w:color w:val="auto"/>
                <w:sz w:val="24"/>
                <w:szCs w:val="24"/>
                <w:highlight w:val="none"/>
              </w:rPr>
              <w:t>座，西片区清扫保洁面积合计共</w:t>
            </w:r>
            <w:r>
              <w:rPr>
                <w:rFonts w:hint="eastAsia"/>
                <w:color w:val="auto"/>
                <w:sz w:val="24"/>
                <w:szCs w:val="24"/>
                <w:highlight w:val="none"/>
                <w:lang w:val="en-US" w:eastAsia="zh-CN"/>
              </w:rPr>
              <w:t>576.72076</w:t>
            </w:r>
            <w:r>
              <w:rPr>
                <w:rFonts w:hint="eastAsia"/>
                <w:color w:val="auto"/>
                <w:sz w:val="24"/>
                <w:szCs w:val="24"/>
                <w:highlight w:val="none"/>
              </w:rPr>
              <w:t>万平方米。</w:t>
            </w:r>
          </w:p>
          <w:p w14:paraId="068E1A60">
            <w:pPr>
              <w:spacing w:line="360" w:lineRule="auto"/>
              <w:jc w:val="left"/>
              <w:rPr>
                <w:color w:val="auto"/>
                <w:sz w:val="24"/>
                <w:szCs w:val="24"/>
                <w:highlight w:val="none"/>
              </w:rPr>
            </w:pPr>
            <w:r>
              <w:rPr>
                <w:b w:val="0"/>
                <w:bCs w:val="0"/>
                <w:color w:val="auto"/>
                <w:sz w:val="24"/>
                <w:szCs w:val="24"/>
                <w:highlight w:val="none"/>
              </w:rPr>
              <w:t>2、垃圾转运：</w:t>
            </w:r>
            <w:r>
              <w:rPr>
                <w:color w:val="auto"/>
                <w:sz w:val="24"/>
                <w:szCs w:val="24"/>
                <w:highlight w:val="none"/>
              </w:rPr>
              <w:t>普宁市区西片区产</w:t>
            </w:r>
            <w:r>
              <w:rPr>
                <w:rFonts w:hint="eastAsia"/>
                <w:color w:val="auto"/>
                <w:sz w:val="24"/>
                <w:szCs w:val="24"/>
                <w:highlight w:val="none"/>
                <w:lang w:val="en-US" w:eastAsia="zh-CN"/>
              </w:rPr>
              <w:t>生的</w:t>
            </w:r>
            <w:r>
              <w:rPr>
                <w:color w:val="auto"/>
                <w:sz w:val="24"/>
                <w:szCs w:val="24"/>
                <w:highlight w:val="none"/>
              </w:rPr>
              <w:t>垃圾总量为</w:t>
            </w:r>
            <w:r>
              <w:rPr>
                <w:rFonts w:hint="eastAsia"/>
                <w:color w:val="auto"/>
                <w:sz w:val="24"/>
                <w:szCs w:val="24"/>
                <w:highlight w:val="none"/>
              </w:rPr>
              <w:t>498</w:t>
            </w:r>
            <w:r>
              <w:rPr>
                <w:color w:val="auto"/>
                <w:sz w:val="24"/>
                <w:szCs w:val="24"/>
                <w:highlight w:val="none"/>
              </w:rPr>
              <w:t>吨/天，在收集压缩后统一运往普宁市生活垃圾环保处理中心（以下</w:t>
            </w:r>
            <w:r>
              <w:rPr>
                <w:rFonts w:hint="eastAsia"/>
                <w:color w:val="auto"/>
                <w:sz w:val="24"/>
                <w:szCs w:val="24"/>
                <w:highlight w:val="none"/>
                <w:lang w:val="en-US" w:eastAsia="zh-CN"/>
              </w:rPr>
              <w:t>简</w:t>
            </w:r>
            <w:r>
              <w:rPr>
                <w:color w:val="auto"/>
                <w:sz w:val="24"/>
                <w:szCs w:val="24"/>
                <w:highlight w:val="none"/>
              </w:rPr>
              <w:t>称环保处理中心），具体如下：</w:t>
            </w:r>
          </w:p>
          <w:p w14:paraId="7B937810">
            <w:pPr>
              <w:spacing w:line="36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rPr>
              <w:t>普宁市区西片管理区域产生的垃圾量为338吨/天。</w:t>
            </w:r>
          </w:p>
          <w:p w14:paraId="7599F3FD">
            <w:pPr>
              <w:spacing w:line="36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普宁市区西片外围村、封闭式物业园区自行清扫、保洁、收集至压台垃圾量为160吨/天（只计压缩站转运到普宁市垃圾环保处理中心运载费用）。</w:t>
            </w:r>
          </w:p>
          <w:p w14:paraId="7A0C4179">
            <w:pPr>
              <w:spacing w:line="360" w:lineRule="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rPr>
              <w:t>西片平均运距以10公里计。</w:t>
            </w:r>
          </w:p>
          <w:p w14:paraId="05570C74">
            <w:pPr>
              <w:spacing w:line="360" w:lineRule="auto"/>
              <w:jc w:val="left"/>
              <w:rPr>
                <w:color w:val="auto"/>
                <w:sz w:val="24"/>
                <w:szCs w:val="24"/>
                <w:highlight w:val="none"/>
              </w:rPr>
            </w:pPr>
            <w:r>
              <w:rPr>
                <w:color w:val="auto"/>
                <w:sz w:val="24"/>
                <w:szCs w:val="24"/>
                <w:highlight w:val="none"/>
              </w:rPr>
              <w:t>3、市区服务区域</w:t>
            </w:r>
            <w:r>
              <w:rPr>
                <w:rFonts w:hint="eastAsia"/>
                <w:color w:val="auto"/>
                <w:sz w:val="24"/>
                <w:szCs w:val="24"/>
                <w:highlight w:val="none"/>
                <w:lang w:val="en-US" w:eastAsia="zh-CN"/>
              </w:rPr>
              <w:t>范围</w:t>
            </w:r>
            <w:r>
              <w:rPr>
                <w:color w:val="auto"/>
                <w:sz w:val="24"/>
                <w:szCs w:val="24"/>
                <w:highlight w:val="none"/>
              </w:rPr>
              <w:t>内且在服务期间因需要新建的压缩站产生的垃圾，中标人应无条件将压缩站产生的生活垃圾转运至环保处理中心处理，不另计费。</w:t>
            </w:r>
          </w:p>
          <w:p w14:paraId="5821B543">
            <w:pPr>
              <w:spacing w:line="360" w:lineRule="auto"/>
              <w:jc w:val="left"/>
              <w:rPr>
                <w:color w:val="auto"/>
                <w:sz w:val="24"/>
                <w:szCs w:val="24"/>
                <w:highlight w:val="none"/>
              </w:rPr>
            </w:pPr>
            <w:r>
              <w:rPr>
                <w:rFonts w:hint="eastAsia"/>
                <w:b w:val="0"/>
                <w:bCs w:val="0"/>
                <w:color w:val="auto"/>
                <w:sz w:val="24"/>
                <w:szCs w:val="24"/>
                <w:highlight w:val="none"/>
                <w:lang w:val="en-US" w:eastAsia="zh-CN"/>
              </w:rPr>
              <w:t>以上</w:t>
            </w:r>
            <w:r>
              <w:rPr>
                <w:b w:val="0"/>
                <w:bCs w:val="0"/>
                <w:color w:val="auto"/>
                <w:sz w:val="24"/>
                <w:szCs w:val="24"/>
                <w:highlight w:val="none"/>
              </w:rPr>
              <w:t>详细</w:t>
            </w:r>
            <w:r>
              <w:rPr>
                <w:rFonts w:hint="eastAsia"/>
                <w:b w:val="0"/>
                <w:bCs w:val="0"/>
                <w:color w:val="auto"/>
                <w:sz w:val="24"/>
                <w:szCs w:val="24"/>
                <w:highlight w:val="none"/>
                <w:lang w:val="en-US" w:eastAsia="zh-CN"/>
              </w:rPr>
              <w:t>服务范围</w:t>
            </w:r>
            <w:r>
              <w:rPr>
                <w:b w:val="0"/>
                <w:bCs w:val="0"/>
                <w:color w:val="auto"/>
                <w:sz w:val="24"/>
                <w:szCs w:val="24"/>
                <w:highlight w:val="none"/>
              </w:rPr>
              <w:t>见公告附件《</w:t>
            </w:r>
            <w:r>
              <w:rPr>
                <w:rFonts w:hint="eastAsia"/>
                <w:b w:val="0"/>
                <w:bCs w:val="0"/>
                <w:color w:val="auto"/>
                <w:sz w:val="24"/>
                <w:szCs w:val="24"/>
                <w:highlight w:val="none"/>
              </w:rPr>
              <w:t>普宁市市区环境卫生清扫保洁区区域一览表（</w:t>
            </w:r>
            <w:r>
              <w:rPr>
                <w:rFonts w:hint="eastAsia"/>
                <w:b w:val="0"/>
                <w:bCs w:val="0"/>
                <w:color w:val="auto"/>
                <w:sz w:val="24"/>
                <w:szCs w:val="24"/>
                <w:highlight w:val="none"/>
                <w:lang w:val="en-US" w:eastAsia="zh-CN"/>
              </w:rPr>
              <w:t>西</w:t>
            </w:r>
            <w:r>
              <w:rPr>
                <w:rFonts w:hint="eastAsia"/>
                <w:b w:val="0"/>
                <w:bCs w:val="0"/>
                <w:color w:val="auto"/>
                <w:sz w:val="24"/>
                <w:szCs w:val="24"/>
                <w:highlight w:val="none"/>
              </w:rPr>
              <w:t>片区）</w:t>
            </w:r>
            <w:r>
              <w:rPr>
                <w:b w:val="0"/>
                <w:bCs w:val="0"/>
                <w:color w:val="auto"/>
                <w:sz w:val="24"/>
                <w:szCs w:val="24"/>
                <w:highlight w:val="none"/>
              </w:rPr>
              <w:t>》</w:t>
            </w:r>
            <w:r>
              <w:rPr>
                <w:rFonts w:hint="eastAsia"/>
                <w:b w:val="0"/>
                <w:bCs w:val="0"/>
                <w:color w:val="auto"/>
                <w:sz w:val="24"/>
                <w:szCs w:val="24"/>
                <w:highlight w:val="none"/>
                <w:lang w:eastAsia="zh-CN"/>
              </w:rPr>
              <w:t>《普宁市区压缩台受纳垃圾量及运距明细表（</w:t>
            </w:r>
            <w:r>
              <w:rPr>
                <w:rFonts w:hint="eastAsia"/>
                <w:b w:val="0"/>
                <w:bCs w:val="0"/>
                <w:color w:val="auto"/>
                <w:sz w:val="24"/>
                <w:szCs w:val="24"/>
                <w:highlight w:val="none"/>
                <w:lang w:val="en-US" w:eastAsia="zh-CN"/>
              </w:rPr>
              <w:t>西</w:t>
            </w:r>
            <w:r>
              <w:rPr>
                <w:rFonts w:hint="eastAsia"/>
                <w:b w:val="0"/>
                <w:bCs w:val="0"/>
                <w:color w:val="auto"/>
                <w:sz w:val="24"/>
                <w:szCs w:val="24"/>
                <w:highlight w:val="none"/>
                <w:lang w:eastAsia="zh-CN"/>
              </w:rPr>
              <w:t>片区）》《普宁市区公厕明细表（</w:t>
            </w:r>
            <w:r>
              <w:rPr>
                <w:rFonts w:hint="eastAsia"/>
                <w:b w:val="0"/>
                <w:bCs w:val="0"/>
                <w:color w:val="auto"/>
                <w:sz w:val="24"/>
                <w:szCs w:val="24"/>
                <w:highlight w:val="none"/>
                <w:lang w:val="en-US" w:eastAsia="zh-CN"/>
              </w:rPr>
              <w:t>西</w:t>
            </w:r>
            <w:r>
              <w:rPr>
                <w:rFonts w:hint="eastAsia"/>
                <w:b w:val="0"/>
                <w:bCs w:val="0"/>
                <w:color w:val="auto"/>
                <w:sz w:val="24"/>
                <w:szCs w:val="24"/>
                <w:highlight w:val="none"/>
                <w:lang w:eastAsia="zh-CN"/>
              </w:rPr>
              <w:t>片区）》《公园广场（</w:t>
            </w:r>
            <w:r>
              <w:rPr>
                <w:rFonts w:hint="eastAsia"/>
                <w:b w:val="0"/>
                <w:bCs w:val="0"/>
                <w:color w:val="auto"/>
                <w:sz w:val="24"/>
                <w:szCs w:val="24"/>
                <w:highlight w:val="none"/>
                <w:lang w:val="en-US" w:eastAsia="zh-CN"/>
              </w:rPr>
              <w:t>西</w:t>
            </w:r>
            <w:r>
              <w:rPr>
                <w:rFonts w:hint="eastAsia"/>
                <w:b w:val="0"/>
                <w:bCs w:val="0"/>
                <w:color w:val="auto"/>
                <w:sz w:val="24"/>
                <w:szCs w:val="24"/>
                <w:highlight w:val="none"/>
                <w:lang w:eastAsia="zh-CN"/>
              </w:rPr>
              <w:t>片区）》《居民区面积（</w:t>
            </w:r>
            <w:r>
              <w:rPr>
                <w:rFonts w:hint="eastAsia"/>
                <w:b w:val="0"/>
                <w:bCs w:val="0"/>
                <w:color w:val="auto"/>
                <w:sz w:val="24"/>
                <w:szCs w:val="24"/>
                <w:highlight w:val="none"/>
                <w:lang w:val="en-US" w:eastAsia="zh-CN"/>
              </w:rPr>
              <w:t>西片区）》</w:t>
            </w:r>
            <w:r>
              <w:rPr>
                <w:b w:val="0"/>
                <w:bCs w:val="0"/>
                <w:color w:val="auto"/>
                <w:sz w:val="24"/>
                <w:szCs w:val="24"/>
                <w:highlight w:val="none"/>
              </w:rPr>
              <w:t>。</w:t>
            </w:r>
          </w:p>
        </w:tc>
      </w:tr>
      <w:tr w14:paraId="45767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44ED322D">
            <w:pPr>
              <w:spacing w:line="360" w:lineRule="auto"/>
              <w:rPr>
                <w:color w:val="auto"/>
                <w:sz w:val="24"/>
                <w:szCs w:val="24"/>
                <w:highlight w:val="none"/>
              </w:rPr>
            </w:pPr>
          </w:p>
        </w:tc>
        <w:tc>
          <w:tcPr>
            <w:tcW w:w="673" w:type="dxa"/>
          </w:tcPr>
          <w:p w14:paraId="722D0E84">
            <w:pPr>
              <w:spacing w:line="360" w:lineRule="auto"/>
              <w:rPr>
                <w:color w:val="auto"/>
                <w:sz w:val="24"/>
                <w:szCs w:val="24"/>
                <w:highlight w:val="none"/>
              </w:rPr>
            </w:pPr>
            <w:r>
              <w:rPr>
                <w:color w:val="auto"/>
                <w:sz w:val="24"/>
                <w:szCs w:val="24"/>
                <w:highlight w:val="none"/>
              </w:rPr>
              <w:t>2</w:t>
            </w:r>
          </w:p>
        </w:tc>
        <w:tc>
          <w:tcPr>
            <w:tcW w:w="8109" w:type="dxa"/>
          </w:tcPr>
          <w:p w14:paraId="2BF35255">
            <w:pPr>
              <w:spacing w:line="360" w:lineRule="auto"/>
              <w:jc w:val="left"/>
              <w:rPr>
                <w:color w:val="auto"/>
                <w:sz w:val="24"/>
                <w:szCs w:val="24"/>
                <w:highlight w:val="none"/>
              </w:rPr>
            </w:pPr>
            <w:r>
              <w:rPr>
                <w:b/>
                <w:color w:val="auto"/>
                <w:sz w:val="24"/>
                <w:szCs w:val="24"/>
                <w:highlight w:val="none"/>
              </w:rPr>
              <w:t>服务内容及要求</w:t>
            </w:r>
          </w:p>
          <w:p w14:paraId="7F66A1EF">
            <w:pPr>
              <w:spacing w:line="360" w:lineRule="auto"/>
              <w:rPr>
                <w:color w:val="auto"/>
                <w:sz w:val="24"/>
                <w:szCs w:val="24"/>
                <w:highlight w:val="none"/>
              </w:rPr>
            </w:pPr>
            <w:r>
              <w:rPr>
                <w:color w:val="auto"/>
                <w:sz w:val="24"/>
                <w:szCs w:val="24"/>
                <w:highlight w:val="none"/>
              </w:rPr>
              <w:t>服务内容主要有服务区域内主次干道、居民区巷道和集市、河道、公厕、公共广场、公园和压缩站清扫保洁，服务区域内生活垃圾转运至环保处理中心等保洁工作。</w:t>
            </w:r>
          </w:p>
          <w:p w14:paraId="33528A72">
            <w:pPr>
              <w:spacing w:line="360" w:lineRule="auto"/>
              <w:rPr>
                <w:color w:val="auto"/>
                <w:sz w:val="24"/>
                <w:szCs w:val="24"/>
                <w:highlight w:val="none"/>
              </w:rPr>
            </w:pPr>
            <w:r>
              <w:rPr>
                <w:color w:val="auto"/>
                <w:sz w:val="24"/>
                <w:szCs w:val="24"/>
                <w:highlight w:val="none"/>
              </w:rPr>
              <w:t>1、服务要求主要为：</w:t>
            </w:r>
          </w:p>
          <w:p w14:paraId="5311BE82">
            <w:pPr>
              <w:spacing w:line="360" w:lineRule="auto"/>
              <w:rPr>
                <w:color w:val="auto"/>
                <w:sz w:val="24"/>
                <w:szCs w:val="24"/>
                <w:highlight w:val="none"/>
              </w:rPr>
            </w:pPr>
            <w:r>
              <w:rPr>
                <w:color w:val="auto"/>
                <w:sz w:val="24"/>
                <w:szCs w:val="24"/>
                <w:highlight w:val="none"/>
              </w:rPr>
              <w:t>(1)流沙大道按一级清扫保洁，每天清扫保洁16小时，路面按每日两扫，每天二洗。作业时间为：第一次清扫，05:00～07:00，保洁时间，07:30～12:00；第二次清扫，12</w:t>
            </w:r>
            <w:r>
              <w:rPr>
                <w:rFonts w:hint="eastAsia"/>
                <w:color w:val="auto"/>
                <w:sz w:val="24"/>
                <w:szCs w:val="24"/>
                <w:highlight w:val="none"/>
                <w:lang w:val="en-US" w:eastAsia="zh-CN"/>
              </w:rPr>
              <w:t>:</w:t>
            </w:r>
            <w:r>
              <w:rPr>
                <w:color w:val="auto"/>
                <w:sz w:val="24"/>
                <w:szCs w:val="24"/>
                <w:highlight w:val="none"/>
              </w:rPr>
              <w:t>00～13</w:t>
            </w:r>
            <w:r>
              <w:rPr>
                <w:rFonts w:hint="eastAsia"/>
                <w:color w:val="auto"/>
                <w:sz w:val="24"/>
                <w:szCs w:val="24"/>
                <w:highlight w:val="none"/>
                <w:lang w:val="en-US" w:eastAsia="zh-CN"/>
              </w:rPr>
              <w:t>:</w:t>
            </w:r>
            <w:r>
              <w:rPr>
                <w:color w:val="auto"/>
                <w:sz w:val="24"/>
                <w:szCs w:val="24"/>
                <w:highlight w:val="none"/>
              </w:rPr>
              <w:t>30，保洁时间，13:30～21:30；</w:t>
            </w:r>
          </w:p>
          <w:p w14:paraId="7B878F36">
            <w:pPr>
              <w:spacing w:line="360" w:lineRule="auto"/>
              <w:rPr>
                <w:color w:val="auto"/>
                <w:sz w:val="24"/>
                <w:szCs w:val="24"/>
                <w:highlight w:val="none"/>
              </w:rPr>
            </w:pPr>
            <w:r>
              <w:rPr>
                <w:color w:val="auto"/>
                <w:sz w:val="24"/>
                <w:szCs w:val="24"/>
                <w:highlight w:val="none"/>
              </w:rPr>
              <w:t>(2)</w:t>
            </w:r>
            <w:r>
              <w:rPr>
                <w:rFonts w:hint="eastAsia"/>
                <w:color w:val="auto"/>
                <w:sz w:val="24"/>
                <w:szCs w:val="24"/>
                <w:highlight w:val="none"/>
                <w:lang w:eastAsia="zh-CN"/>
              </w:rPr>
              <w:t>二级、三级、四级清扫保洁道路、</w:t>
            </w:r>
            <w:r>
              <w:rPr>
                <w:color w:val="auto"/>
                <w:sz w:val="24"/>
                <w:szCs w:val="24"/>
                <w:highlight w:val="none"/>
              </w:rPr>
              <w:t>机动车道按每天二扫，非机动车道、人行道按人工每天一扫，一、二、三、四级道路按一天、二天、三天、七天一洗，每天清扫保洁16小时；</w:t>
            </w:r>
          </w:p>
          <w:p w14:paraId="644759C2">
            <w:pPr>
              <w:spacing w:line="360" w:lineRule="auto"/>
              <w:rPr>
                <w:color w:val="auto"/>
                <w:sz w:val="24"/>
                <w:szCs w:val="24"/>
                <w:highlight w:val="none"/>
              </w:rPr>
            </w:pPr>
            <w:r>
              <w:rPr>
                <w:color w:val="auto"/>
                <w:sz w:val="24"/>
                <w:szCs w:val="24"/>
                <w:highlight w:val="none"/>
              </w:rPr>
              <w:t>(3)居民区巷道按四级清扫保洁、每天一扫，每天清扫保洁8小时，清扫时间为05:00～07:00，第一段保洁时间为08:00～10:00，第二段保洁时间为15:00～19:00；</w:t>
            </w:r>
          </w:p>
          <w:p w14:paraId="54B5991C">
            <w:pPr>
              <w:spacing w:line="360" w:lineRule="auto"/>
              <w:rPr>
                <w:color w:val="auto"/>
                <w:sz w:val="24"/>
                <w:szCs w:val="24"/>
                <w:highlight w:val="none"/>
              </w:rPr>
            </w:pPr>
            <w:r>
              <w:rPr>
                <w:color w:val="auto"/>
                <w:sz w:val="24"/>
                <w:szCs w:val="24"/>
                <w:highlight w:val="none"/>
              </w:rPr>
              <w:t>(4)农贸市场、临时集市地段按四级清扫保洁，按每天二扫，每天清扫保洁16小时；</w:t>
            </w:r>
          </w:p>
          <w:p w14:paraId="3CA419E1">
            <w:pPr>
              <w:spacing w:line="360" w:lineRule="auto"/>
              <w:rPr>
                <w:color w:val="auto"/>
                <w:sz w:val="24"/>
                <w:szCs w:val="24"/>
                <w:highlight w:val="none"/>
              </w:rPr>
            </w:pPr>
            <w:r>
              <w:rPr>
                <w:color w:val="auto"/>
                <w:sz w:val="24"/>
                <w:szCs w:val="24"/>
                <w:highlight w:val="none"/>
              </w:rPr>
              <w:t>(5)公厕分为专人管理/非专人管理，作业时间为06:00～23:00；</w:t>
            </w:r>
          </w:p>
          <w:p w14:paraId="50B37949">
            <w:pPr>
              <w:spacing w:line="360" w:lineRule="auto"/>
              <w:rPr>
                <w:rFonts w:hint="eastAsia" w:eastAsiaTheme="minorEastAsia"/>
                <w:color w:val="auto"/>
                <w:sz w:val="24"/>
                <w:szCs w:val="24"/>
                <w:highlight w:val="none"/>
                <w:lang w:eastAsia="zh-CN"/>
              </w:rPr>
            </w:pPr>
            <w:r>
              <w:rPr>
                <w:color w:val="auto"/>
                <w:sz w:val="24"/>
                <w:szCs w:val="24"/>
                <w:highlight w:val="none"/>
              </w:rPr>
              <w:t>(6)</w:t>
            </w:r>
            <w:r>
              <w:rPr>
                <w:rFonts w:hint="eastAsia"/>
                <w:color w:val="auto"/>
                <w:sz w:val="24"/>
                <w:szCs w:val="24"/>
                <w:highlight w:val="none"/>
              </w:rPr>
              <w:t>市政府广场保洁16小时，保洁时间为05:00～12:00，12:00～21:00；其他广场、公园按一、二、三级清扫保洁，按每天一扫，每天清扫保洁12小时，保洁时间为05:00～11:00，14:00～20:00保洁；</w:t>
            </w:r>
          </w:p>
          <w:p w14:paraId="38E60FAC">
            <w:pPr>
              <w:spacing w:line="360" w:lineRule="auto"/>
              <w:rPr>
                <w:color w:val="auto"/>
                <w:sz w:val="24"/>
                <w:szCs w:val="24"/>
                <w:highlight w:val="none"/>
              </w:rPr>
            </w:pPr>
            <w:r>
              <w:rPr>
                <w:color w:val="auto"/>
                <w:sz w:val="24"/>
                <w:szCs w:val="24"/>
                <w:highlight w:val="none"/>
              </w:rPr>
              <w:t>(7)居民区内公共活动场所按四级清扫保洁、每天一扫，每天清扫保洁8小时，作业时间同居民区；</w:t>
            </w:r>
          </w:p>
          <w:p w14:paraId="5CD10A96">
            <w:pPr>
              <w:spacing w:line="360" w:lineRule="auto"/>
              <w:rPr>
                <w:color w:val="auto"/>
                <w:sz w:val="24"/>
                <w:szCs w:val="24"/>
                <w:highlight w:val="none"/>
              </w:rPr>
            </w:pPr>
            <w:r>
              <w:rPr>
                <w:color w:val="auto"/>
                <w:sz w:val="24"/>
                <w:szCs w:val="24"/>
                <w:highlight w:val="none"/>
              </w:rPr>
              <w:t>(8)清扫及居民垃圾收集后应运至垃圾压缩站进行压缩，并运往环保处理中心；</w:t>
            </w:r>
          </w:p>
          <w:p w14:paraId="4EA0E1ED">
            <w:pPr>
              <w:spacing w:line="360" w:lineRule="auto"/>
              <w:rPr>
                <w:color w:val="auto"/>
                <w:sz w:val="24"/>
                <w:szCs w:val="24"/>
                <w:highlight w:val="none"/>
              </w:rPr>
            </w:pPr>
            <w:r>
              <w:rPr>
                <w:color w:val="auto"/>
                <w:sz w:val="24"/>
                <w:szCs w:val="24"/>
                <w:highlight w:val="none"/>
              </w:rPr>
              <w:t>(9)环保处理中心环保路七天一洗、七天一扫。</w:t>
            </w:r>
          </w:p>
          <w:p w14:paraId="05FFFCAE">
            <w:pPr>
              <w:spacing w:line="360" w:lineRule="auto"/>
              <w:rPr>
                <w:b w:val="0"/>
                <w:bCs w:val="0"/>
                <w:color w:val="auto"/>
                <w:sz w:val="24"/>
                <w:szCs w:val="24"/>
                <w:highlight w:val="none"/>
              </w:rPr>
            </w:pPr>
            <w:r>
              <w:rPr>
                <w:b w:val="0"/>
                <w:bCs w:val="0"/>
                <w:color w:val="auto"/>
                <w:sz w:val="24"/>
                <w:szCs w:val="24"/>
                <w:highlight w:val="none"/>
              </w:rPr>
              <w:t>以上清扫保洁作业标准详细内容及要求见</w:t>
            </w:r>
            <w:r>
              <w:rPr>
                <w:rFonts w:hint="eastAsia"/>
                <w:b w:val="0"/>
                <w:bCs w:val="0"/>
                <w:color w:val="auto"/>
                <w:sz w:val="24"/>
                <w:szCs w:val="24"/>
                <w:highlight w:val="none"/>
                <w:lang w:val="en-US" w:eastAsia="zh-CN"/>
              </w:rPr>
              <w:t>公告附件</w:t>
            </w:r>
            <w:r>
              <w:rPr>
                <w:b w:val="0"/>
                <w:bCs w:val="0"/>
                <w:color w:val="auto"/>
                <w:sz w:val="24"/>
                <w:szCs w:val="24"/>
                <w:highlight w:val="none"/>
              </w:rPr>
              <w:t>《</w:t>
            </w:r>
            <w:r>
              <w:rPr>
                <w:rFonts w:hint="eastAsia"/>
                <w:b w:val="0"/>
                <w:bCs w:val="0"/>
                <w:color w:val="auto"/>
                <w:sz w:val="24"/>
                <w:szCs w:val="24"/>
                <w:highlight w:val="none"/>
              </w:rPr>
              <w:t>普宁市市区环境卫生清扫保洁区区域一览表（</w:t>
            </w:r>
            <w:r>
              <w:rPr>
                <w:rFonts w:hint="eastAsia"/>
                <w:b w:val="0"/>
                <w:bCs w:val="0"/>
                <w:color w:val="auto"/>
                <w:sz w:val="24"/>
                <w:szCs w:val="24"/>
                <w:highlight w:val="none"/>
                <w:lang w:val="en-US" w:eastAsia="zh-CN"/>
              </w:rPr>
              <w:t>西</w:t>
            </w:r>
            <w:r>
              <w:rPr>
                <w:rFonts w:hint="eastAsia"/>
                <w:b w:val="0"/>
                <w:bCs w:val="0"/>
                <w:color w:val="auto"/>
                <w:sz w:val="24"/>
                <w:szCs w:val="24"/>
                <w:highlight w:val="none"/>
              </w:rPr>
              <w:t>片区）</w:t>
            </w:r>
            <w:r>
              <w:rPr>
                <w:b w:val="0"/>
                <w:bCs w:val="0"/>
                <w:color w:val="auto"/>
                <w:sz w:val="24"/>
                <w:szCs w:val="24"/>
                <w:highlight w:val="none"/>
              </w:rPr>
              <w:t>》</w:t>
            </w:r>
            <w:r>
              <w:rPr>
                <w:rFonts w:hint="eastAsia"/>
                <w:b w:val="0"/>
                <w:bCs w:val="0"/>
                <w:color w:val="auto"/>
                <w:sz w:val="24"/>
                <w:szCs w:val="24"/>
                <w:highlight w:val="none"/>
                <w:lang w:eastAsia="zh-CN"/>
              </w:rPr>
              <w:t>《普宁市区压缩台受纳垃圾量及运距明细表（</w:t>
            </w:r>
            <w:r>
              <w:rPr>
                <w:rFonts w:hint="eastAsia"/>
                <w:b w:val="0"/>
                <w:bCs w:val="0"/>
                <w:color w:val="auto"/>
                <w:sz w:val="24"/>
                <w:szCs w:val="24"/>
                <w:highlight w:val="none"/>
                <w:lang w:val="en-US" w:eastAsia="zh-CN"/>
              </w:rPr>
              <w:t>西</w:t>
            </w:r>
            <w:r>
              <w:rPr>
                <w:rFonts w:hint="eastAsia"/>
                <w:b w:val="0"/>
                <w:bCs w:val="0"/>
                <w:color w:val="auto"/>
                <w:sz w:val="24"/>
                <w:szCs w:val="24"/>
                <w:highlight w:val="none"/>
                <w:lang w:eastAsia="zh-CN"/>
              </w:rPr>
              <w:t>片区）》《普宁市区公厕明细表（</w:t>
            </w:r>
            <w:r>
              <w:rPr>
                <w:rFonts w:hint="eastAsia"/>
                <w:b w:val="0"/>
                <w:bCs w:val="0"/>
                <w:color w:val="auto"/>
                <w:sz w:val="24"/>
                <w:szCs w:val="24"/>
                <w:highlight w:val="none"/>
                <w:lang w:val="en-US" w:eastAsia="zh-CN"/>
              </w:rPr>
              <w:t>西</w:t>
            </w:r>
            <w:r>
              <w:rPr>
                <w:rFonts w:hint="eastAsia"/>
                <w:b w:val="0"/>
                <w:bCs w:val="0"/>
                <w:color w:val="auto"/>
                <w:sz w:val="24"/>
                <w:szCs w:val="24"/>
                <w:highlight w:val="none"/>
                <w:lang w:eastAsia="zh-CN"/>
              </w:rPr>
              <w:t>片区）》《公园广场（</w:t>
            </w:r>
            <w:r>
              <w:rPr>
                <w:rFonts w:hint="eastAsia"/>
                <w:b w:val="0"/>
                <w:bCs w:val="0"/>
                <w:color w:val="auto"/>
                <w:sz w:val="24"/>
                <w:szCs w:val="24"/>
                <w:highlight w:val="none"/>
                <w:lang w:val="en-US" w:eastAsia="zh-CN"/>
              </w:rPr>
              <w:t>西</w:t>
            </w:r>
            <w:r>
              <w:rPr>
                <w:rFonts w:hint="eastAsia"/>
                <w:b w:val="0"/>
                <w:bCs w:val="0"/>
                <w:color w:val="auto"/>
                <w:sz w:val="24"/>
                <w:szCs w:val="24"/>
                <w:highlight w:val="none"/>
                <w:lang w:eastAsia="zh-CN"/>
              </w:rPr>
              <w:t>片区）》《居民区面积（</w:t>
            </w:r>
            <w:r>
              <w:rPr>
                <w:rFonts w:hint="eastAsia"/>
                <w:b w:val="0"/>
                <w:bCs w:val="0"/>
                <w:color w:val="auto"/>
                <w:sz w:val="24"/>
                <w:szCs w:val="24"/>
                <w:highlight w:val="none"/>
                <w:lang w:val="en-US" w:eastAsia="zh-CN"/>
              </w:rPr>
              <w:t>西片区）》</w:t>
            </w:r>
            <w:r>
              <w:rPr>
                <w:b w:val="0"/>
                <w:bCs w:val="0"/>
                <w:color w:val="auto"/>
                <w:sz w:val="24"/>
                <w:szCs w:val="24"/>
                <w:highlight w:val="none"/>
              </w:rPr>
              <w:t>。</w:t>
            </w:r>
          </w:p>
          <w:p w14:paraId="74E41636">
            <w:pPr>
              <w:spacing w:line="360" w:lineRule="auto"/>
              <w:rPr>
                <w:color w:val="auto"/>
                <w:sz w:val="24"/>
                <w:szCs w:val="24"/>
                <w:highlight w:val="none"/>
              </w:rPr>
            </w:pPr>
            <w:r>
              <w:rPr>
                <w:color w:val="auto"/>
                <w:sz w:val="24"/>
                <w:szCs w:val="24"/>
                <w:highlight w:val="none"/>
              </w:rPr>
              <w:t>2、道路交通护栏、隔离栏每周一洗。作业质量标准：护栏清洗保洁要干净、整齐，见本底色。</w:t>
            </w:r>
          </w:p>
          <w:p w14:paraId="1ABE99E8">
            <w:pPr>
              <w:spacing w:line="360" w:lineRule="auto"/>
              <w:rPr>
                <w:color w:val="auto"/>
                <w:sz w:val="24"/>
                <w:szCs w:val="24"/>
                <w:highlight w:val="none"/>
              </w:rPr>
            </w:pPr>
            <w:r>
              <w:rPr>
                <w:color w:val="auto"/>
                <w:sz w:val="24"/>
                <w:szCs w:val="24"/>
                <w:highlight w:val="none"/>
              </w:rPr>
              <w:t xml:space="preserve">3、按国家法律法规的有关规定加强安全生产管理。 </w:t>
            </w:r>
          </w:p>
          <w:p w14:paraId="7639EC84">
            <w:pPr>
              <w:spacing w:line="360" w:lineRule="auto"/>
              <w:rPr>
                <w:color w:val="auto"/>
                <w:sz w:val="24"/>
                <w:szCs w:val="24"/>
                <w:highlight w:val="none"/>
              </w:rPr>
            </w:pPr>
            <w:r>
              <w:rPr>
                <w:color w:val="auto"/>
                <w:sz w:val="24"/>
                <w:szCs w:val="24"/>
                <w:highlight w:val="none"/>
              </w:rPr>
              <w:t>4、重视对废旧家具、工业垃圾、</w:t>
            </w:r>
            <w:r>
              <w:rPr>
                <w:rFonts w:hint="eastAsia"/>
                <w:color w:val="auto"/>
                <w:sz w:val="24"/>
                <w:szCs w:val="24"/>
                <w:highlight w:val="none"/>
                <w:lang w:val="en-US" w:eastAsia="zh-CN"/>
              </w:rPr>
              <w:t>少量</w:t>
            </w:r>
            <w:r>
              <w:rPr>
                <w:color w:val="auto"/>
                <w:sz w:val="24"/>
                <w:szCs w:val="24"/>
                <w:highlight w:val="none"/>
              </w:rPr>
              <w:t>建筑垃圾的清理，增加清理频次，提高工作质量。不得将垃圾、尘土等扫入沉沙井盖。</w:t>
            </w:r>
          </w:p>
          <w:p w14:paraId="4EC098B3">
            <w:pPr>
              <w:spacing w:line="360" w:lineRule="auto"/>
              <w:rPr>
                <w:color w:val="auto"/>
                <w:sz w:val="24"/>
                <w:szCs w:val="24"/>
                <w:highlight w:val="none"/>
              </w:rPr>
            </w:pPr>
            <w:r>
              <w:rPr>
                <w:color w:val="auto"/>
                <w:sz w:val="24"/>
                <w:szCs w:val="24"/>
                <w:highlight w:val="none"/>
              </w:rPr>
              <w:t>5、应做到垃圾日产日清，垃圾转运站及周边应保持卫生清洁，无臭味，站内无垃圾杂物堆积。</w:t>
            </w:r>
          </w:p>
          <w:p w14:paraId="22BDC390">
            <w:pPr>
              <w:spacing w:line="360" w:lineRule="auto"/>
              <w:rPr>
                <w:color w:val="auto"/>
                <w:sz w:val="24"/>
                <w:szCs w:val="24"/>
                <w:highlight w:val="none"/>
              </w:rPr>
            </w:pPr>
            <w:r>
              <w:rPr>
                <w:color w:val="auto"/>
                <w:sz w:val="24"/>
                <w:szCs w:val="24"/>
                <w:highlight w:val="none"/>
              </w:rPr>
              <w:t>6、公厕管理符合卫生质量要求，卫生、整洁、配套齐全（达到二类以上公厕标准）、无异味。</w:t>
            </w:r>
          </w:p>
          <w:p w14:paraId="5FCA2A3B">
            <w:pPr>
              <w:spacing w:line="360" w:lineRule="auto"/>
              <w:rPr>
                <w:color w:val="auto"/>
                <w:sz w:val="24"/>
                <w:szCs w:val="24"/>
                <w:highlight w:val="none"/>
              </w:rPr>
            </w:pPr>
            <w:r>
              <w:rPr>
                <w:color w:val="auto"/>
                <w:sz w:val="24"/>
                <w:szCs w:val="24"/>
                <w:highlight w:val="none"/>
              </w:rPr>
              <w:t>7、对路面无主</w:t>
            </w:r>
            <w:r>
              <w:rPr>
                <w:rFonts w:hint="eastAsia"/>
                <w:color w:val="auto"/>
                <w:sz w:val="24"/>
                <w:szCs w:val="24"/>
                <w:highlight w:val="none"/>
                <w:lang w:val="en-US" w:eastAsia="zh-CN"/>
              </w:rPr>
              <w:t>少量</w:t>
            </w:r>
            <w:r>
              <w:rPr>
                <w:color w:val="auto"/>
                <w:sz w:val="24"/>
                <w:szCs w:val="24"/>
                <w:highlight w:val="none"/>
              </w:rPr>
              <w:t>建筑垃圾、余泥渣土应及时清理干净，对道路撒漏建筑散体及时清理，同时将上述垃圾清运至指定地点消纳处理。对有主建筑垃圾、余泥渣土，由职能部门责令其清运，并对其违反有关规定的行为进行处罚。</w:t>
            </w:r>
          </w:p>
          <w:p w14:paraId="06DEFB18">
            <w:pPr>
              <w:spacing w:line="360" w:lineRule="auto"/>
              <w:rPr>
                <w:color w:val="auto"/>
                <w:sz w:val="24"/>
                <w:szCs w:val="24"/>
                <w:highlight w:val="none"/>
              </w:rPr>
            </w:pPr>
            <w:r>
              <w:rPr>
                <w:color w:val="auto"/>
                <w:sz w:val="24"/>
                <w:szCs w:val="24"/>
                <w:highlight w:val="none"/>
              </w:rPr>
              <w:t>8、对乱涂画、乱张贴应及时清理，作业时间原则上与路面清扫保洁时间同步。</w:t>
            </w:r>
          </w:p>
          <w:p w14:paraId="0C8BFD6C">
            <w:pPr>
              <w:spacing w:line="360" w:lineRule="auto"/>
              <w:rPr>
                <w:color w:val="auto"/>
                <w:sz w:val="24"/>
                <w:szCs w:val="24"/>
                <w:highlight w:val="none"/>
              </w:rPr>
            </w:pPr>
            <w:r>
              <w:rPr>
                <w:color w:val="auto"/>
                <w:sz w:val="24"/>
                <w:szCs w:val="24"/>
                <w:highlight w:val="none"/>
              </w:rPr>
              <w:t>9、重点道路、广场、人员密集场所等每周至少冲洗1次。</w:t>
            </w:r>
          </w:p>
          <w:p w14:paraId="6C8759DE">
            <w:pPr>
              <w:spacing w:line="360" w:lineRule="auto"/>
              <w:rPr>
                <w:color w:val="auto"/>
                <w:sz w:val="24"/>
                <w:szCs w:val="24"/>
                <w:highlight w:val="none"/>
              </w:rPr>
            </w:pPr>
            <w:r>
              <w:rPr>
                <w:color w:val="auto"/>
                <w:sz w:val="24"/>
                <w:szCs w:val="24"/>
                <w:highlight w:val="none"/>
              </w:rPr>
              <w:t>10、每天对垃圾保洁车、垃圾桶、果皮箱进行清洗不少于1次，确保整洁，不影响市容。</w:t>
            </w:r>
          </w:p>
          <w:p w14:paraId="7A00CD4C">
            <w:pPr>
              <w:spacing w:line="360" w:lineRule="auto"/>
              <w:rPr>
                <w:color w:val="auto"/>
                <w:sz w:val="24"/>
                <w:szCs w:val="24"/>
                <w:highlight w:val="none"/>
              </w:rPr>
            </w:pPr>
            <w:r>
              <w:rPr>
                <w:color w:val="auto"/>
                <w:sz w:val="24"/>
                <w:szCs w:val="24"/>
                <w:highlight w:val="none"/>
              </w:rPr>
              <w:t>11、垃圾装车点必须专人管理，桶容干净，无垃圾落地，不造成环境的二次污染。</w:t>
            </w:r>
          </w:p>
          <w:p w14:paraId="7ED638E0">
            <w:pPr>
              <w:spacing w:line="360" w:lineRule="auto"/>
              <w:rPr>
                <w:color w:val="auto"/>
                <w:sz w:val="24"/>
                <w:szCs w:val="24"/>
                <w:highlight w:val="none"/>
              </w:rPr>
            </w:pPr>
            <w:r>
              <w:rPr>
                <w:color w:val="auto"/>
                <w:sz w:val="24"/>
                <w:szCs w:val="24"/>
                <w:highlight w:val="none"/>
              </w:rPr>
              <w:t>12、垃圾桶、保洁车、小水车及其它环卫作业工具应按规定位置有序停放。</w:t>
            </w:r>
          </w:p>
          <w:p w14:paraId="11AE396C">
            <w:pPr>
              <w:spacing w:line="360" w:lineRule="auto"/>
              <w:rPr>
                <w:color w:val="auto"/>
                <w:sz w:val="24"/>
                <w:szCs w:val="24"/>
                <w:highlight w:val="none"/>
              </w:rPr>
            </w:pPr>
            <w:r>
              <w:rPr>
                <w:color w:val="auto"/>
                <w:sz w:val="24"/>
                <w:szCs w:val="24"/>
                <w:highlight w:val="none"/>
              </w:rPr>
              <w:t>13、做好环卫设施设备【如</w:t>
            </w:r>
            <w:r>
              <w:rPr>
                <w:rFonts w:hint="eastAsia"/>
                <w:color w:val="auto"/>
                <w:sz w:val="24"/>
                <w:szCs w:val="24"/>
                <w:highlight w:val="none"/>
                <w:lang w:val="en-US" w:eastAsia="zh-CN"/>
              </w:rPr>
              <w:t>压缩</w:t>
            </w:r>
            <w:r>
              <w:rPr>
                <w:color w:val="auto"/>
                <w:sz w:val="24"/>
                <w:szCs w:val="24"/>
                <w:highlight w:val="none"/>
              </w:rPr>
              <w:t>站、果皮箱、保洁车、小水车、工具房、垃圾桶、人力（助力）清扫车等】的维修保养，统一编号，保证环卫设施功能齐全，干净整洁，正常使用。未经采购人同意，中标人不得对市政道路的设施设置进行变更。</w:t>
            </w:r>
          </w:p>
          <w:p w14:paraId="1FAB8893">
            <w:pPr>
              <w:spacing w:line="360" w:lineRule="auto"/>
              <w:rPr>
                <w:color w:val="auto"/>
                <w:sz w:val="24"/>
                <w:szCs w:val="24"/>
                <w:highlight w:val="none"/>
              </w:rPr>
            </w:pPr>
            <w:r>
              <w:rPr>
                <w:color w:val="auto"/>
                <w:sz w:val="24"/>
                <w:szCs w:val="24"/>
                <w:highlight w:val="none"/>
              </w:rPr>
              <w:t>14、作业期间必须按规定穿着统一的环卫工作服、反光衣（带）等，工作服、反光衣（带）由中标人负责投入。</w:t>
            </w:r>
          </w:p>
          <w:p w14:paraId="3CE9A881">
            <w:pPr>
              <w:spacing w:line="360" w:lineRule="auto"/>
              <w:rPr>
                <w:color w:val="auto"/>
                <w:sz w:val="24"/>
                <w:szCs w:val="24"/>
                <w:highlight w:val="none"/>
              </w:rPr>
            </w:pPr>
            <w:r>
              <w:rPr>
                <w:color w:val="auto"/>
                <w:sz w:val="24"/>
                <w:szCs w:val="24"/>
                <w:highlight w:val="none"/>
              </w:rPr>
              <w:t>15、采购人将</w:t>
            </w:r>
            <w:r>
              <w:rPr>
                <w:rFonts w:hint="eastAsia"/>
                <w:color w:val="auto"/>
                <w:sz w:val="24"/>
                <w:szCs w:val="24"/>
                <w:highlight w:val="none"/>
                <w:lang w:val="en-US" w:eastAsia="zh-CN"/>
              </w:rPr>
              <w:t>压缩站</w:t>
            </w:r>
            <w:r>
              <w:rPr>
                <w:color w:val="auto"/>
                <w:sz w:val="24"/>
                <w:szCs w:val="24"/>
                <w:highlight w:val="none"/>
              </w:rPr>
              <w:t>、果皮箱、工具房、垃圾桶按现状移交中标人管理，并由中标人负责更新和增配</w:t>
            </w:r>
            <w:r>
              <w:rPr>
                <w:rFonts w:hint="eastAsia"/>
                <w:color w:val="auto"/>
                <w:sz w:val="24"/>
                <w:szCs w:val="24"/>
                <w:highlight w:val="none"/>
                <w:lang w:val="en-US" w:eastAsia="zh-CN"/>
              </w:rPr>
              <w:t>设施</w:t>
            </w:r>
            <w:r>
              <w:rPr>
                <w:color w:val="auto"/>
                <w:sz w:val="24"/>
                <w:szCs w:val="24"/>
                <w:highlight w:val="none"/>
              </w:rPr>
              <w:t>，中标人根据作业规范要求，负责对上述设施进行管理、维护、保养，其中果皮箱、垃圾桶及时更新，规格由采购人根据上级部门的要求和作业需要予以指定。合同期满后中标人要如数归还由采购人提供使用的设备、设施（包括但不限于</w:t>
            </w:r>
            <w:r>
              <w:rPr>
                <w:rFonts w:hint="eastAsia"/>
                <w:color w:val="auto"/>
                <w:sz w:val="24"/>
                <w:szCs w:val="24"/>
                <w:highlight w:val="none"/>
                <w:lang w:val="en-US" w:eastAsia="zh-CN"/>
              </w:rPr>
              <w:t>压缩</w:t>
            </w:r>
            <w:r>
              <w:rPr>
                <w:color w:val="auto"/>
                <w:sz w:val="24"/>
                <w:szCs w:val="24"/>
                <w:highlight w:val="none"/>
              </w:rPr>
              <w:t>站、果皮箱、工具房、垃圾桶等），若数量不足或设备已严重损坏的，中标人需按新购价赔偿。中标人服务期内配设的分类垃圾桶、果皮箱不得拆除，应保持原状并使用良好。</w:t>
            </w:r>
          </w:p>
          <w:p w14:paraId="0830498F">
            <w:pPr>
              <w:spacing w:line="360" w:lineRule="auto"/>
              <w:rPr>
                <w:color w:val="auto"/>
                <w:sz w:val="24"/>
                <w:szCs w:val="24"/>
                <w:highlight w:val="none"/>
              </w:rPr>
            </w:pPr>
            <w:r>
              <w:rPr>
                <w:color w:val="auto"/>
                <w:sz w:val="24"/>
                <w:szCs w:val="24"/>
                <w:highlight w:val="none"/>
              </w:rPr>
              <w:t>16、中标人须接受采购人对作业质量的监管，并做好重大检查、活动期间，或紧急情况下的环卫作业。</w:t>
            </w:r>
          </w:p>
          <w:p w14:paraId="0AA9EBAD">
            <w:pPr>
              <w:spacing w:line="360" w:lineRule="auto"/>
              <w:rPr>
                <w:color w:val="auto"/>
                <w:sz w:val="24"/>
                <w:szCs w:val="24"/>
                <w:highlight w:val="none"/>
              </w:rPr>
            </w:pPr>
            <w:r>
              <w:rPr>
                <w:color w:val="auto"/>
                <w:sz w:val="24"/>
                <w:szCs w:val="24"/>
                <w:highlight w:val="none"/>
              </w:rPr>
              <w:t>17、按照采购人要求，中标人应无条件做好市政府布置的临时性、阶段性任务（含检查、突击整治、重大节假日及活动等）中的环卫作业。在执行临时性、阶段性任务（含国家、省、市检查，突击整治，重大活动等）期间，其作业质量要求高于上述标准的，按该任务的具体要求执行。</w:t>
            </w:r>
          </w:p>
          <w:p w14:paraId="6159E713">
            <w:pPr>
              <w:spacing w:line="360" w:lineRule="auto"/>
              <w:rPr>
                <w:color w:val="auto"/>
                <w:sz w:val="24"/>
                <w:szCs w:val="24"/>
                <w:highlight w:val="none"/>
              </w:rPr>
            </w:pPr>
            <w:r>
              <w:rPr>
                <w:color w:val="auto"/>
                <w:sz w:val="24"/>
                <w:szCs w:val="24"/>
                <w:highlight w:val="none"/>
              </w:rPr>
              <w:t>18、负责做好城中村垃圾收集、压缩运输工作。</w:t>
            </w:r>
          </w:p>
          <w:p w14:paraId="7EFF034C">
            <w:pPr>
              <w:spacing w:line="360" w:lineRule="auto"/>
              <w:rPr>
                <w:color w:val="auto"/>
                <w:sz w:val="24"/>
                <w:szCs w:val="24"/>
                <w:highlight w:val="none"/>
              </w:rPr>
            </w:pPr>
            <w:r>
              <w:rPr>
                <w:color w:val="auto"/>
                <w:sz w:val="24"/>
                <w:szCs w:val="24"/>
                <w:highlight w:val="none"/>
              </w:rPr>
              <w:t>19、中标人应做好应对自然灾害及突发事件的应急工作方案及其实施工作。</w:t>
            </w:r>
          </w:p>
          <w:p w14:paraId="54112597">
            <w:pPr>
              <w:spacing w:line="360" w:lineRule="auto"/>
              <w:rPr>
                <w:color w:val="auto"/>
                <w:sz w:val="24"/>
                <w:szCs w:val="24"/>
                <w:highlight w:val="none"/>
              </w:rPr>
            </w:pPr>
            <w:r>
              <w:rPr>
                <w:color w:val="auto"/>
                <w:sz w:val="24"/>
                <w:szCs w:val="24"/>
                <w:highlight w:val="none"/>
              </w:rPr>
              <w:t>20、负责道路保洁作业所需的所有环卫设施的管理、维护、保养；负责果皮箱、垃圾桶的更新。</w:t>
            </w:r>
          </w:p>
          <w:p w14:paraId="0C181C6C">
            <w:pPr>
              <w:spacing w:line="360" w:lineRule="auto"/>
              <w:rPr>
                <w:color w:val="auto"/>
                <w:sz w:val="24"/>
                <w:szCs w:val="24"/>
                <w:highlight w:val="none"/>
              </w:rPr>
            </w:pPr>
            <w:r>
              <w:rPr>
                <w:color w:val="auto"/>
                <w:sz w:val="24"/>
                <w:szCs w:val="24"/>
                <w:highlight w:val="none"/>
              </w:rPr>
              <w:t>21、根据采购人的要求，中标人负责派员协助洒水车冲洗范围的清扫作业。</w:t>
            </w:r>
          </w:p>
          <w:p w14:paraId="6D8368C2">
            <w:pPr>
              <w:spacing w:line="360" w:lineRule="auto"/>
              <w:rPr>
                <w:color w:val="auto"/>
                <w:sz w:val="24"/>
                <w:szCs w:val="24"/>
                <w:highlight w:val="none"/>
              </w:rPr>
            </w:pPr>
            <w:r>
              <w:rPr>
                <w:color w:val="auto"/>
                <w:sz w:val="24"/>
                <w:szCs w:val="24"/>
                <w:highlight w:val="none"/>
              </w:rPr>
              <w:t>22、中标人负责清理项目范围内的乱张贴、乱涂画。</w:t>
            </w:r>
          </w:p>
          <w:p w14:paraId="5C24ED34">
            <w:pPr>
              <w:spacing w:line="360" w:lineRule="auto"/>
              <w:rPr>
                <w:color w:val="auto"/>
                <w:sz w:val="24"/>
                <w:szCs w:val="24"/>
                <w:highlight w:val="none"/>
              </w:rPr>
            </w:pPr>
            <w:r>
              <w:rPr>
                <w:color w:val="auto"/>
                <w:sz w:val="24"/>
                <w:szCs w:val="24"/>
                <w:highlight w:val="none"/>
              </w:rPr>
              <w:t>23、中标人必须配</w:t>
            </w:r>
            <w:r>
              <w:rPr>
                <w:rFonts w:hint="eastAsia"/>
                <w:color w:val="auto"/>
                <w:sz w:val="24"/>
                <w:szCs w:val="24"/>
                <w:highlight w:val="none"/>
                <w:lang w:val="en-US" w:eastAsia="zh-CN"/>
              </w:rPr>
              <w:t>备</w:t>
            </w:r>
            <w:r>
              <w:rPr>
                <w:color w:val="auto"/>
                <w:sz w:val="24"/>
                <w:szCs w:val="24"/>
                <w:highlight w:val="none"/>
              </w:rPr>
              <w:t>足够人员服务本项目，人工作业时其人工承担清扫保洁面积不得超工作量用工。一级道路（主干道）4500㎡/人，二级道路（次干道）5000㎡/人，三级道路（一般道路）5500㎡/人，四级道路（小街巷）6000㎡/人，以上每天反复扫，人口密集繁华地段应适当减少面积。</w:t>
            </w:r>
          </w:p>
          <w:p w14:paraId="04DF5DD2">
            <w:pPr>
              <w:spacing w:line="360" w:lineRule="auto"/>
              <w:rPr>
                <w:color w:val="auto"/>
                <w:sz w:val="24"/>
                <w:szCs w:val="24"/>
                <w:highlight w:val="none"/>
              </w:rPr>
            </w:pPr>
            <w:r>
              <w:rPr>
                <w:color w:val="auto"/>
                <w:sz w:val="24"/>
                <w:szCs w:val="24"/>
                <w:highlight w:val="none"/>
              </w:rPr>
              <w:t>24、中标人需在签订合同之日起10个工作日内需配足车辆及车辆相关证件，满足垃圾运载和道路清洗、降尘、清扫，道路清扫机械作业应达到80%以上，压缩站运输车辆配设按每站1.2辆车配设，</w:t>
            </w:r>
            <w:r>
              <w:rPr>
                <w:rFonts w:hint="eastAsia"/>
                <w:color w:val="auto"/>
                <w:sz w:val="24"/>
                <w:szCs w:val="24"/>
                <w:highlight w:val="none"/>
                <w:lang w:val="en-US" w:eastAsia="zh-CN"/>
              </w:rPr>
              <w:t>车</w:t>
            </w:r>
            <w:r>
              <w:rPr>
                <w:rFonts w:hint="eastAsia" w:cs="宋体"/>
                <w:color w:val="auto"/>
                <w:sz w:val="24"/>
                <w:szCs w:val="24"/>
                <w:highlight w:val="none"/>
                <w:lang w:val="en-US" w:eastAsia="zh-CN"/>
              </w:rPr>
              <w:t>箱</w:t>
            </w:r>
            <w:r>
              <w:rPr>
                <w:color w:val="auto"/>
                <w:sz w:val="24"/>
                <w:szCs w:val="24"/>
                <w:highlight w:val="none"/>
              </w:rPr>
              <w:t>配设按照每站2车位1</w:t>
            </w:r>
            <w:r>
              <w:rPr>
                <w:rFonts w:hint="eastAsia" w:cs="宋体"/>
                <w:color w:val="auto"/>
                <w:sz w:val="24"/>
                <w:szCs w:val="24"/>
                <w:highlight w:val="none"/>
                <w:lang w:val="en-US" w:eastAsia="zh-CN"/>
              </w:rPr>
              <w:t>箱</w:t>
            </w:r>
            <w:r>
              <w:rPr>
                <w:color w:val="auto"/>
                <w:sz w:val="24"/>
                <w:szCs w:val="24"/>
                <w:highlight w:val="none"/>
              </w:rPr>
              <w:t>，3车位2</w:t>
            </w:r>
            <w:r>
              <w:rPr>
                <w:rFonts w:hint="eastAsia" w:cs="宋体"/>
                <w:color w:val="auto"/>
                <w:sz w:val="24"/>
                <w:szCs w:val="24"/>
                <w:highlight w:val="none"/>
                <w:lang w:val="en-US" w:eastAsia="zh-CN"/>
              </w:rPr>
              <w:t>箱</w:t>
            </w:r>
            <w:r>
              <w:rPr>
                <w:color w:val="auto"/>
                <w:sz w:val="24"/>
                <w:szCs w:val="24"/>
                <w:highlight w:val="none"/>
              </w:rPr>
              <w:t>，每辆车1</w:t>
            </w:r>
            <w:r>
              <w:rPr>
                <w:rFonts w:hint="eastAsia" w:cs="宋体"/>
                <w:color w:val="auto"/>
                <w:sz w:val="24"/>
                <w:szCs w:val="24"/>
                <w:highlight w:val="none"/>
                <w:lang w:val="en-US" w:eastAsia="zh-CN"/>
              </w:rPr>
              <w:t>箱</w:t>
            </w:r>
            <w:r>
              <w:rPr>
                <w:color w:val="auto"/>
                <w:sz w:val="24"/>
                <w:szCs w:val="24"/>
                <w:highlight w:val="none"/>
              </w:rPr>
              <w:t>比例配设，同时，并需满足垃圾分类运载车辆的要求。</w:t>
            </w:r>
          </w:p>
          <w:p w14:paraId="6962E634">
            <w:pPr>
              <w:spacing w:line="360" w:lineRule="auto"/>
              <w:rPr>
                <w:rFonts w:hint="eastAsia" w:eastAsiaTheme="minorEastAsia"/>
                <w:color w:val="auto"/>
                <w:sz w:val="24"/>
                <w:szCs w:val="24"/>
                <w:highlight w:val="none"/>
                <w:lang w:eastAsia="zh-CN"/>
              </w:rPr>
            </w:pPr>
            <w:r>
              <w:rPr>
                <w:color w:val="auto"/>
                <w:sz w:val="24"/>
                <w:szCs w:val="24"/>
                <w:highlight w:val="none"/>
              </w:rPr>
              <w:t>25、</w:t>
            </w:r>
            <w:r>
              <w:rPr>
                <w:rFonts w:hint="eastAsia"/>
                <w:color w:val="auto"/>
                <w:sz w:val="24"/>
                <w:szCs w:val="24"/>
                <w:highlight w:val="none"/>
                <w:lang w:eastAsia="zh-CN"/>
              </w:rPr>
              <w:t>保洁工工具需配齐全，即需配齐软扫、竹扫、草扒、铁钳、铲等小宗工具。</w:t>
            </w:r>
          </w:p>
          <w:p w14:paraId="2864BC65">
            <w:pPr>
              <w:spacing w:line="360" w:lineRule="auto"/>
              <w:rPr>
                <w:color w:val="auto"/>
                <w:sz w:val="24"/>
                <w:szCs w:val="24"/>
                <w:highlight w:val="none"/>
              </w:rPr>
            </w:pPr>
            <w:r>
              <w:rPr>
                <w:color w:val="auto"/>
                <w:sz w:val="24"/>
                <w:szCs w:val="24"/>
                <w:highlight w:val="none"/>
              </w:rPr>
              <w:t>26、专人管理公厕，离开岗位不得超过50米范围。</w:t>
            </w:r>
          </w:p>
          <w:p w14:paraId="377A6EF6">
            <w:pPr>
              <w:spacing w:line="360" w:lineRule="auto"/>
              <w:rPr>
                <w:color w:val="auto"/>
                <w:sz w:val="24"/>
                <w:szCs w:val="24"/>
                <w:highlight w:val="none"/>
              </w:rPr>
            </w:pPr>
            <w:r>
              <w:rPr>
                <w:color w:val="auto"/>
                <w:sz w:val="24"/>
                <w:szCs w:val="24"/>
                <w:highlight w:val="none"/>
              </w:rPr>
              <w:t>27、压缩站应保持整洁，不乱堆乱放，每次作业需清洗干净，设施完好。</w:t>
            </w:r>
          </w:p>
          <w:p w14:paraId="7FDF0672">
            <w:pPr>
              <w:spacing w:line="360" w:lineRule="auto"/>
              <w:rPr>
                <w:rFonts w:hint="eastAsia" w:eastAsiaTheme="minorEastAsia"/>
                <w:color w:val="auto"/>
                <w:sz w:val="24"/>
                <w:szCs w:val="24"/>
                <w:highlight w:val="none"/>
                <w:lang w:eastAsia="zh-CN"/>
              </w:rPr>
            </w:pPr>
            <w:r>
              <w:rPr>
                <w:color w:val="auto"/>
                <w:sz w:val="24"/>
                <w:szCs w:val="24"/>
                <w:highlight w:val="none"/>
              </w:rPr>
              <w:t>28、</w:t>
            </w:r>
            <w:r>
              <w:rPr>
                <w:rFonts w:hint="eastAsia"/>
                <w:color w:val="auto"/>
                <w:sz w:val="24"/>
                <w:szCs w:val="24"/>
                <w:highlight w:val="none"/>
                <w:lang w:eastAsia="zh-CN"/>
              </w:rPr>
              <w:t>中标人不得以任何方式向服务区域内任何单位、企业、个人、商户收取环卫费用。</w:t>
            </w:r>
          </w:p>
          <w:p w14:paraId="7BC72CE7">
            <w:pPr>
              <w:spacing w:line="360" w:lineRule="auto"/>
              <w:jc w:val="left"/>
              <w:rPr>
                <w:color w:val="auto"/>
                <w:sz w:val="24"/>
                <w:szCs w:val="24"/>
                <w:highlight w:val="none"/>
              </w:rPr>
            </w:pPr>
            <w:r>
              <w:rPr>
                <w:color w:val="auto"/>
                <w:sz w:val="24"/>
                <w:szCs w:val="24"/>
                <w:highlight w:val="none"/>
              </w:rPr>
              <w:t>29、区域内家具、</w:t>
            </w:r>
            <w:r>
              <w:rPr>
                <w:rFonts w:hint="eastAsia"/>
                <w:color w:val="auto"/>
                <w:sz w:val="24"/>
                <w:szCs w:val="24"/>
                <w:highlight w:val="none"/>
                <w:lang w:val="en-US" w:eastAsia="zh-CN"/>
              </w:rPr>
              <w:t>少量</w:t>
            </w:r>
            <w:r>
              <w:rPr>
                <w:color w:val="auto"/>
                <w:sz w:val="24"/>
                <w:szCs w:val="24"/>
                <w:highlight w:val="none"/>
              </w:rPr>
              <w:t>建筑垃圾、工业无毒废料，必须及时清理干净。中标人不得以非生活垃圾为理由对</w:t>
            </w:r>
            <w:r>
              <w:rPr>
                <w:rFonts w:hint="eastAsia"/>
                <w:color w:val="auto"/>
                <w:sz w:val="24"/>
                <w:szCs w:val="24"/>
                <w:highlight w:val="none"/>
                <w:lang w:val="en-US" w:eastAsia="zh-CN"/>
              </w:rPr>
              <w:t>此</w:t>
            </w:r>
            <w:r>
              <w:rPr>
                <w:color w:val="auto"/>
                <w:sz w:val="24"/>
                <w:szCs w:val="24"/>
                <w:highlight w:val="none"/>
              </w:rPr>
              <w:t>拒收或收取额外费用。</w:t>
            </w:r>
          </w:p>
          <w:p w14:paraId="50A60692">
            <w:pPr>
              <w:spacing w:line="360" w:lineRule="auto"/>
              <w:rPr>
                <w:color w:val="auto"/>
                <w:sz w:val="24"/>
                <w:szCs w:val="24"/>
                <w:highlight w:val="none"/>
              </w:rPr>
            </w:pPr>
            <w:r>
              <w:rPr>
                <w:color w:val="auto"/>
                <w:sz w:val="24"/>
                <w:szCs w:val="24"/>
                <w:highlight w:val="none"/>
              </w:rPr>
              <w:t>30、服务区域交界处道路两侧路沿必须清扫干净。</w:t>
            </w:r>
          </w:p>
          <w:p w14:paraId="1961132C">
            <w:pPr>
              <w:spacing w:line="360" w:lineRule="auto"/>
              <w:jc w:val="left"/>
              <w:rPr>
                <w:color w:val="auto"/>
                <w:sz w:val="24"/>
                <w:szCs w:val="24"/>
                <w:highlight w:val="none"/>
              </w:rPr>
            </w:pPr>
            <w:r>
              <w:rPr>
                <w:color w:val="auto"/>
                <w:sz w:val="24"/>
                <w:szCs w:val="24"/>
                <w:highlight w:val="none"/>
              </w:rPr>
              <w:t>31、应急事件处置：中标人在接到采购人通知时，必须在30分钟内到场进行处理。</w:t>
            </w:r>
          </w:p>
        </w:tc>
      </w:tr>
      <w:tr w14:paraId="0ECCB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D4C5F9D">
            <w:pPr>
              <w:spacing w:line="360" w:lineRule="auto"/>
              <w:rPr>
                <w:color w:val="auto"/>
                <w:sz w:val="24"/>
                <w:szCs w:val="24"/>
                <w:highlight w:val="none"/>
              </w:rPr>
            </w:pPr>
          </w:p>
        </w:tc>
        <w:tc>
          <w:tcPr>
            <w:tcW w:w="673" w:type="dxa"/>
          </w:tcPr>
          <w:p w14:paraId="2E631FD5">
            <w:pPr>
              <w:spacing w:line="360" w:lineRule="auto"/>
              <w:rPr>
                <w:color w:val="auto"/>
                <w:sz w:val="24"/>
                <w:szCs w:val="24"/>
                <w:highlight w:val="none"/>
              </w:rPr>
            </w:pPr>
            <w:r>
              <w:rPr>
                <w:color w:val="auto"/>
                <w:sz w:val="24"/>
                <w:szCs w:val="24"/>
                <w:highlight w:val="none"/>
              </w:rPr>
              <w:t>3</w:t>
            </w:r>
          </w:p>
        </w:tc>
        <w:tc>
          <w:tcPr>
            <w:tcW w:w="8109" w:type="dxa"/>
          </w:tcPr>
          <w:p w14:paraId="0F549D2E">
            <w:pPr>
              <w:spacing w:line="360" w:lineRule="auto"/>
              <w:jc w:val="left"/>
              <w:rPr>
                <w:color w:val="auto"/>
                <w:sz w:val="24"/>
                <w:szCs w:val="24"/>
                <w:highlight w:val="none"/>
              </w:rPr>
            </w:pPr>
            <w:r>
              <w:rPr>
                <w:b/>
                <w:color w:val="auto"/>
                <w:sz w:val="24"/>
                <w:szCs w:val="24"/>
                <w:highlight w:val="none"/>
              </w:rPr>
              <w:t>作业内容：</w:t>
            </w:r>
            <w:r>
              <w:rPr>
                <w:b/>
                <w:bCs/>
                <w:color w:val="auto"/>
                <w:sz w:val="24"/>
                <w:szCs w:val="24"/>
                <w:highlight w:val="none"/>
              </w:rPr>
              <w:t>《</w:t>
            </w:r>
            <w:r>
              <w:rPr>
                <w:rFonts w:hint="eastAsia"/>
                <w:b/>
                <w:color w:val="auto"/>
                <w:sz w:val="24"/>
                <w:szCs w:val="24"/>
                <w:highlight w:val="none"/>
              </w:rPr>
              <w:t>普宁市市区环境卫生清扫保洁区区域一览表（</w:t>
            </w:r>
            <w:r>
              <w:rPr>
                <w:rFonts w:hint="eastAsia"/>
                <w:b/>
                <w:color w:val="auto"/>
                <w:sz w:val="24"/>
                <w:szCs w:val="24"/>
                <w:highlight w:val="none"/>
                <w:lang w:val="en-US" w:eastAsia="zh-CN"/>
              </w:rPr>
              <w:t>西</w:t>
            </w:r>
            <w:r>
              <w:rPr>
                <w:rFonts w:hint="eastAsia"/>
                <w:b/>
                <w:color w:val="auto"/>
                <w:sz w:val="24"/>
                <w:szCs w:val="24"/>
                <w:highlight w:val="none"/>
              </w:rPr>
              <w:t>片区）</w:t>
            </w:r>
            <w:r>
              <w:rPr>
                <w:b/>
                <w:bCs/>
                <w:color w:val="auto"/>
                <w:sz w:val="24"/>
                <w:szCs w:val="24"/>
                <w:highlight w:val="none"/>
              </w:rPr>
              <w:t>》</w:t>
            </w:r>
            <w:r>
              <w:rPr>
                <w:rFonts w:hint="eastAsia"/>
                <w:b/>
                <w:bCs/>
                <w:color w:val="auto"/>
                <w:sz w:val="24"/>
                <w:szCs w:val="24"/>
                <w:highlight w:val="none"/>
                <w:lang w:eastAsia="zh-CN"/>
              </w:rPr>
              <w:t>《居民区面积（</w:t>
            </w:r>
            <w:r>
              <w:rPr>
                <w:rFonts w:hint="eastAsia"/>
                <w:b/>
                <w:bCs/>
                <w:color w:val="auto"/>
                <w:sz w:val="24"/>
                <w:szCs w:val="24"/>
                <w:highlight w:val="none"/>
                <w:lang w:val="en-US" w:eastAsia="zh-CN"/>
              </w:rPr>
              <w:t>西片区）》</w:t>
            </w:r>
            <w:r>
              <w:rPr>
                <w:b/>
                <w:color w:val="auto"/>
                <w:sz w:val="24"/>
                <w:szCs w:val="24"/>
                <w:highlight w:val="none"/>
              </w:rPr>
              <w:t>《公园广场（西片区）》《普宁市区公厕明细表（西片区）》见公告附件。</w:t>
            </w:r>
          </w:p>
          <w:p w14:paraId="7573DFB1">
            <w:pPr>
              <w:spacing w:line="360" w:lineRule="auto"/>
              <w:jc w:val="left"/>
              <w:rPr>
                <w:b w:val="0"/>
                <w:bCs w:val="0"/>
                <w:color w:val="auto"/>
                <w:sz w:val="24"/>
                <w:szCs w:val="24"/>
                <w:highlight w:val="none"/>
              </w:rPr>
            </w:pPr>
            <w:r>
              <w:rPr>
                <w:color w:val="auto"/>
                <w:sz w:val="24"/>
                <w:szCs w:val="24"/>
                <w:highlight w:val="none"/>
              </w:rPr>
              <w:t>1、清扫保洁：按照</w:t>
            </w:r>
            <w:r>
              <w:rPr>
                <w:b w:val="0"/>
                <w:bCs w:val="0"/>
                <w:color w:val="auto"/>
                <w:sz w:val="24"/>
                <w:szCs w:val="24"/>
                <w:highlight w:val="none"/>
              </w:rPr>
              <w:t>《</w:t>
            </w:r>
            <w:r>
              <w:rPr>
                <w:rFonts w:hint="eastAsia"/>
                <w:b w:val="0"/>
                <w:bCs w:val="0"/>
                <w:color w:val="auto"/>
                <w:sz w:val="24"/>
                <w:szCs w:val="24"/>
                <w:highlight w:val="none"/>
              </w:rPr>
              <w:t>普宁市市区环境卫生清扫保洁区区域一览表（</w:t>
            </w:r>
            <w:r>
              <w:rPr>
                <w:rFonts w:hint="eastAsia"/>
                <w:b w:val="0"/>
                <w:bCs w:val="0"/>
                <w:color w:val="auto"/>
                <w:sz w:val="24"/>
                <w:szCs w:val="24"/>
                <w:highlight w:val="none"/>
                <w:lang w:val="en-US" w:eastAsia="zh-CN"/>
              </w:rPr>
              <w:t>西</w:t>
            </w:r>
            <w:r>
              <w:rPr>
                <w:rFonts w:hint="eastAsia"/>
                <w:b w:val="0"/>
                <w:bCs w:val="0"/>
                <w:color w:val="auto"/>
                <w:sz w:val="24"/>
                <w:szCs w:val="24"/>
                <w:highlight w:val="none"/>
              </w:rPr>
              <w:t>片区）</w:t>
            </w:r>
            <w:r>
              <w:rPr>
                <w:b w:val="0"/>
                <w:bCs w:val="0"/>
                <w:color w:val="auto"/>
                <w:sz w:val="24"/>
                <w:szCs w:val="24"/>
                <w:highlight w:val="none"/>
              </w:rPr>
              <w:t>》</w:t>
            </w:r>
            <w:r>
              <w:rPr>
                <w:rFonts w:hint="eastAsia"/>
                <w:b w:val="0"/>
                <w:bCs w:val="0"/>
                <w:color w:val="auto"/>
                <w:sz w:val="24"/>
                <w:szCs w:val="24"/>
                <w:highlight w:val="none"/>
                <w:lang w:eastAsia="zh-CN"/>
              </w:rPr>
              <w:t>《居民区面积（</w:t>
            </w:r>
            <w:r>
              <w:rPr>
                <w:rFonts w:hint="eastAsia"/>
                <w:b w:val="0"/>
                <w:bCs w:val="0"/>
                <w:color w:val="auto"/>
                <w:sz w:val="24"/>
                <w:szCs w:val="24"/>
                <w:highlight w:val="none"/>
                <w:lang w:val="en-US" w:eastAsia="zh-CN"/>
              </w:rPr>
              <w:t>西片区）》</w:t>
            </w:r>
            <w:r>
              <w:rPr>
                <w:b w:val="0"/>
                <w:bCs w:val="0"/>
                <w:color w:val="auto"/>
                <w:sz w:val="24"/>
                <w:szCs w:val="24"/>
                <w:highlight w:val="none"/>
              </w:rPr>
              <w:t>标准执行。</w:t>
            </w:r>
          </w:p>
          <w:p w14:paraId="0968F9BB">
            <w:pPr>
              <w:spacing w:line="360" w:lineRule="auto"/>
              <w:jc w:val="left"/>
              <w:rPr>
                <w:color w:val="auto"/>
                <w:sz w:val="24"/>
                <w:szCs w:val="24"/>
                <w:highlight w:val="none"/>
              </w:rPr>
            </w:pPr>
            <w:r>
              <w:rPr>
                <w:color w:val="auto"/>
                <w:sz w:val="24"/>
                <w:szCs w:val="24"/>
                <w:highlight w:val="none"/>
              </w:rPr>
              <w:t>2、按照《城市环境卫生质量标准》，对各专业市场实施清扫保洁和垃圾清运。</w:t>
            </w:r>
          </w:p>
          <w:p w14:paraId="00E36C37">
            <w:pPr>
              <w:spacing w:line="360" w:lineRule="auto"/>
              <w:jc w:val="left"/>
              <w:rPr>
                <w:color w:val="auto"/>
                <w:sz w:val="24"/>
                <w:szCs w:val="24"/>
                <w:highlight w:val="none"/>
              </w:rPr>
            </w:pPr>
            <w:r>
              <w:rPr>
                <w:color w:val="auto"/>
                <w:sz w:val="24"/>
                <w:szCs w:val="24"/>
                <w:highlight w:val="none"/>
              </w:rPr>
              <w:t>3、公园广场保洁：按照《公园广场（西片区）》质量要求标准做好保洁工作。</w:t>
            </w:r>
          </w:p>
          <w:p w14:paraId="66D1A52A">
            <w:pPr>
              <w:spacing w:line="360" w:lineRule="auto"/>
              <w:jc w:val="left"/>
              <w:rPr>
                <w:color w:val="auto"/>
                <w:sz w:val="24"/>
                <w:szCs w:val="24"/>
                <w:highlight w:val="none"/>
              </w:rPr>
            </w:pPr>
            <w:r>
              <w:rPr>
                <w:color w:val="auto"/>
                <w:sz w:val="24"/>
                <w:szCs w:val="24"/>
                <w:highlight w:val="none"/>
              </w:rPr>
              <w:t>4、公厕保洁：中标人负责《普宁市区公厕明细表（西片区）》的保洁工作。</w:t>
            </w:r>
          </w:p>
        </w:tc>
      </w:tr>
      <w:tr w14:paraId="09EF6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64ADD05E">
            <w:pPr>
              <w:spacing w:line="360" w:lineRule="auto"/>
              <w:rPr>
                <w:color w:val="auto"/>
                <w:sz w:val="24"/>
                <w:szCs w:val="24"/>
                <w:highlight w:val="none"/>
              </w:rPr>
            </w:pPr>
          </w:p>
        </w:tc>
        <w:tc>
          <w:tcPr>
            <w:tcW w:w="673" w:type="dxa"/>
          </w:tcPr>
          <w:p w14:paraId="1699C08B">
            <w:pPr>
              <w:spacing w:line="360" w:lineRule="auto"/>
              <w:rPr>
                <w:color w:val="auto"/>
                <w:sz w:val="24"/>
                <w:szCs w:val="24"/>
                <w:highlight w:val="none"/>
              </w:rPr>
            </w:pPr>
            <w:r>
              <w:rPr>
                <w:color w:val="auto"/>
                <w:sz w:val="24"/>
                <w:szCs w:val="24"/>
                <w:highlight w:val="none"/>
              </w:rPr>
              <w:t>4</w:t>
            </w:r>
          </w:p>
        </w:tc>
        <w:tc>
          <w:tcPr>
            <w:tcW w:w="8109" w:type="dxa"/>
          </w:tcPr>
          <w:p w14:paraId="7EDE171D">
            <w:pPr>
              <w:spacing w:line="360" w:lineRule="auto"/>
              <w:jc w:val="left"/>
              <w:rPr>
                <w:color w:val="auto"/>
                <w:sz w:val="24"/>
                <w:szCs w:val="24"/>
                <w:highlight w:val="none"/>
              </w:rPr>
            </w:pPr>
            <w:r>
              <w:rPr>
                <w:b/>
                <w:color w:val="auto"/>
                <w:sz w:val="24"/>
                <w:szCs w:val="24"/>
                <w:highlight w:val="none"/>
              </w:rPr>
              <w:t>压缩站管理：《普宁市区压缩台受纳垃圾量及运距明细表（西片区）》见公告附件</w:t>
            </w:r>
          </w:p>
          <w:p w14:paraId="325D3F2B">
            <w:pPr>
              <w:spacing w:line="360" w:lineRule="auto"/>
              <w:rPr>
                <w:color w:val="auto"/>
                <w:sz w:val="24"/>
                <w:szCs w:val="24"/>
                <w:highlight w:val="none"/>
              </w:rPr>
            </w:pPr>
            <w:r>
              <w:rPr>
                <w:color w:val="auto"/>
                <w:sz w:val="24"/>
                <w:szCs w:val="24"/>
                <w:highlight w:val="none"/>
              </w:rPr>
              <w:t>西片区</w:t>
            </w:r>
            <w:r>
              <w:rPr>
                <w:rFonts w:hint="eastAsia"/>
                <w:color w:val="auto"/>
                <w:sz w:val="24"/>
                <w:szCs w:val="24"/>
                <w:highlight w:val="none"/>
                <w:lang w:val="en-US" w:eastAsia="zh-CN"/>
              </w:rPr>
              <w:t>16</w:t>
            </w:r>
            <w:r>
              <w:rPr>
                <w:color w:val="auto"/>
                <w:sz w:val="24"/>
                <w:szCs w:val="24"/>
                <w:highlight w:val="none"/>
              </w:rPr>
              <w:t>个垃圾压缩站，原来由普宁市市容环境卫生管理中心管理的垃圾压缩站，中标人接管项目后，由中标人负责运营管理；其他垃圾压缩站依然归属村管理，但设备维修维护、垃圾运载由中标人负责。中标后在合同确定服务范围内，若新增垃圾压缩站按照建成后由中标人管理，不再另行计费。今后有新增压缩台、土地、土建、水电配套的，由普宁市市容环境卫生管理中心或所在街道、村负责，设备配套由中标人投入及更新。中标人应及时对压缩站进行维护维修（排水系统至市政排污接入口止）。因中标人生产需对压缩站进行更新改造，其费用由中标人负责。</w:t>
            </w:r>
          </w:p>
        </w:tc>
      </w:tr>
      <w:tr w14:paraId="22AE9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1BAC344">
            <w:pPr>
              <w:spacing w:line="360" w:lineRule="auto"/>
              <w:rPr>
                <w:color w:val="auto"/>
                <w:sz w:val="24"/>
                <w:szCs w:val="24"/>
                <w:highlight w:val="none"/>
              </w:rPr>
            </w:pPr>
          </w:p>
        </w:tc>
        <w:tc>
          <w:tcPr>
            <w:tcW w:w="673" w:type="dxa"/>
          </w:tcPr>
          <w:p w14:paraId="1C7FF51B">
            <w:pPr>
              <w:spacing w:line="360" w:lineRule="auto"/>
              <w:rPr>
                <w:color w:val="auto"/>
                <w:sz w:val="24"/>
                <w:szCs w:val="24"/>
                <w:highlight w:val="none"/>
              </w:rPr>
            </w:pPr>
            <w:r>
              <w:rPr>
                <w:color w:val="auto"/>
                <w:sz w:val="24"/>
                <w:szCs w:val="24"/>
                <w:highlight w:val="none"/>
              </w:rPr>
              <w:t>5</w:t>
            </w:r>
          </w:p>
        </w:tc>
        <w:tc>
          <w:tcPr>
            <w:tcW w:w="8109" w:type="dxa"/>
          </w:tcPr>
          <w:p w14:paraId="2F02AF1A">
            <w:pPr>
              <w:spacing w:line="360" w:lineRule="auto"/>
              <w:jc w:val="left"/>
              <w:rPr>
                <w:color w:val="auto"/>
                <w:sz w:val="24"/>
                <w:szCs w:val="24"/>
                <w:highlight w:val="none"/>
              </w:rPr>
            </w:pPr>
            <w:r>
              <w:rPr>
                <w:b/>
                <w:color w:val="auto"/>
                <w:sz w:val="24"/>
                <w:szCs w:val="24"/>
                <w:highlight w:val="none"/>
              </w:rPr>
              <w:t>保洁</w:t>
            </w:r>
            <w:r>
              <w:rPr>
                <w:rFonts w:hint="eastAsia"/>
                <w:b/>
                <w:color w:val="auto"/>
                <w:sz w:val="24"/>
                <w:szCs w:val="24"/>
                <w:highlight w:val="none"/>
                <w:lang w:val="en-US" w:eastAsia="zh-CN"/>
              </w:rPr>
              <w:t>质量</w:t>
            </w:r>
            <w:r>
              <w:rPr>
                <w:b/>
                <w:color w:val="auto"/>
                <w:sz w:val="24"/>
                <w:szCs w:val="24"/>
                <w:highlight w:val="none"/>
              </w:rPr>
              <w:t>要求</w:t>
            </w:r>
          </w:p>
          <w:p w14:paraId="6755376A">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一级道路保洁质量要求：</w:t>
            </w:r>
          </w:p>
          <w:p w14:paraId="415EF3B8">
            <w:pPr>
              <w:spacing w:line="360" w:lineRule="auto"/>
              <w:jc w:val="left"/>
              <w:rPr>
                <w:color w:val="auto"/>
                <w:sz w:val="24"/>
                <w:szCs w:val="24"/>
                <w:highlight w:val="none"/>
              </w:rPr>
            </w:pPr>
            <w:r>
              <w:rPr>
                <w:color w:val="auto"/>
                <w:sz w:val="24"/>
                <w:szCs w:val="24"/>
                <w:highlight w:val="none"/>
              </w:rPr>
              <w:t xml:space="preserve">  1.1 对人流量大的繁华路段，应全天巡回保洁，路面应见本色。</w:t>
            </w:r>
          </w:p>
          <w:p w14:paraId="1E039C97">
            <w:pPr>
              <w:spacing w:line="360" w:lineRule="auto"/>
              <w:jc w:val="left"/>
              <w:rPr>
                <w:color w:val="auto"/>
                <w:sz w:val="24"/>
                <w:szCs w:val="24"/>
                <w:highlight w:val="none"/>
              </w:rPr>
            </w:pPr>
            <w:r>
              <w:rPr>
                <w:color w:val="auto"/>
                <w:sz w:val="24"/>
                <w:szCs w:val="24"/>
                <w:highlight w:val="none"/>
              </w:rPr>
              <w:t xml:space="preserve">  1.2 路面冲洗</w:t>
            </w:r>
            <w:r>
              <w:rPr>
                <w:rFonts w:hint="eastAsia"/>
                <w:color w:val="auto"/>
                <w:sz w:val="24"/>
                <w:szCs w:val="24"/>
                <w:highlight w:val="none"/>
                <w:lang w:val="en-US" w:eastAsia="zh-CN"/>
              </w:rPr>
              <w:t>每</w:t>
            </w:r>
            <w:r>
              <w:rPr>
                <w:color w:val="auto"/>
                <w:sz w:val="24"/>
                <w:szCs w:val="24"/>
                <w:highlight w:val="none"/>
              </w:rPr>
              <w:t>日2洗。</w:t>
            </w:r>
          </w:p>
          <w:p w14:paraId="0938B959">
            <w:pPr>
              <w:spacing w:line="360" w:lineRule="auto"/>
              <w:ind w:firstLine="210"/>
              <w:jc w:val="left"/>
              <w:rPr>
                <w:color w:val="auto"/>
                <w:sz w:val="24"/>
                <w:szCs w:val="24"/>
                <w:highlight w:val="none"/>
              </w:rPr>
            </w:pPr>
            <w:r>
              <w:rPr>
                <w:color w:val="auto"/>
                <w:sz w:val="24"/>
                <w:szCs w:val="24"/>
                <w:highlight w:val="none"/>
              </w:rPr>
              <w:t>1.3 气温30℃以上时，路面冲洗日增加不少于一次。</w:t>
            </w:r>
          </w:p>
          <w:p w14:paraId="49E434D0">
            <w:pPr>
              <w:spacing w:line="360" w:lineRule="auto"/>
              <w:ind w:firstLine="210"/>
              <w:jc w:val="left"/>
              <w:rPr>
                <w:color w:val="auto"/>
                <w:sz w:val="24"/>
                <w:szCs w:val="24"/>
                <w:highlight w:val="none"/>
              </w:rPr>
            </w:pPr>
            <w:r>
              <w:rPr>
                <w:color w:val="auto"/>
                <w:sz w:val="24"/>
                <w:szCs w:val="24"/>
                <w:highlight w:val="none"/>
              </w:rPr>
              <w:t>1.4作业质量标准：</w:t>
            </w:r>
          </w:p>
          <w:p w14:paraId="0AA742D6">
            <w:pPr>
              <w:spacing w:line="360" w:lineRule="auto"/>
              <w:ind w:firstLine="210"/>
              <w:jc w:val="left"/>
              <w:rPr>
                <w:color w:val="auto"/>
                <w:sz w:val="24"/>
                <w:szCs w:val="24"/>
                <w:highlight w:val="none"/>
              </w:rPr>
            </w:pPr>
            <w:r>
              <w:rPr>
                <w:color w:val="auto"/>
                <w:sz w:val="24"/>
                <w:szCs w:val="24"/>
                <w:highlight w:val="none"/>
              </w:rPr>
              <w:t>①做到无废弃物、无果皮纸屑、无塑料袋、无积泥、无污水及灰带等杂物。</w:t>
            </w:r>
          </w:p>
          <w:p w14:paraId="29A0CEA4">
            <w:pPr>
              <w:spacing w:line="360" w:lineRule="auto"/>
              <w:ind w:firstLine="210"/>
              <w:jc w:val="left"/>
              <w:rPr>
                <w:color w:val="auto"/>
                <w:sz w:val="24"/>
                <w:szCs w:val="24"/>
                <w:highlight w:val="none"/>
              </w:rPr>
            </w:pPr>
            <w:r>
              <w:rPr>
                <w:color w:val="auto"/>
                <w:sz w:val="24"/>
                <w:szCs w:val="24"/>
                <w:highlight w:val="none"/>
              </w:rPr>
              <w:t>②要做到路面畅通无堆积物，无垃圾乱倒，道路两侧无杂草，无污泥浊水，街巷路面干净。</w:t>
            </w:r>
          </w:p>
          <w:p w14:paraId="6427612D">
            <w:pPr>
              <w:spacing w:line="360" w:lineRule="auto"/>
              <w:ind w:firstLine="210"/>
              <w:jc w:val="left"/>
              <w:rPr>
                <w:color w:val="auto"/>
                <w:sz w:val="24"/>
                <w:szCs w:val="24"/>
                <w:highlight w:val="none"/>
              </w:rPr>
            </w:pPr>
            <w:r>
              <w:rPr>
                <w:color w:val="auto"/>
                <w:sz w:val="24"/>
                <w:szCs w:val="24"/>
                <w:highlight w:val="none"/>
              </w:rPr>
              <w:t>③确保清扫保洁垃圾及时清运，做到日产日清。</w:t>
            </w:r>
          </w:p>
          <w:p w14:paraId="06979E98">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二级道路保洁质量要求：</w:t>
            </w:r>
          </w:p>
          <w:p w14:paraId="02B91792">
            <w:pPr>
              <w:spacing w:line="360" w:lineRule="auto"/>
              <w:ind w:firstLine="210"/>
              <w:jc w:val="left"/>
              <w:rPr>
                <w:color w:val="auto"/>
                <w:sz w:val="24"/>
                <w:szCs w:val="24"/>
                <w:highlight w:val="none"/>
              </w:rPr>
            </w:pPr>
            <w:r>
              <w:rPr>
                <w:color w:val="auto"/>
                <w:sz w:val="24"/>
                <w:szCs w:val="24"/>
                <w:highlight w:val="none"/>
              </w:rPr>
              <w:t>2.1 主要路段应巡回保洁，路面基本见本色。</w:t>
            </w:r>
          </w:p>
          <w:p w14:paraId="6321715E">
            <w:pPr>
              <w:spacing w:line="360" w:lineRule="auto"/>
              <w:ind w:firstLine="210"/>
              <w:jc w:val="left"/>
              <w:rPr>
                <w:color w:val="auto"/>
                <w:sz w:val="24"/>
                <w:szCs w:val="24"/>
                <w:highlight w:val="none"/>
              </w:rPr>
            </w:pPr>
            <w:r>
              <w:rPr>
                <w:color w:val="auto"/>
                <w:sz w:val="24"/>
                <w:szCs w:val="24"/>
                <w:highlight w:val="none"/>
              </w:rPr>
              <w:t>2.2 路面冲洗按两天一洗、三天一洗。</w:t>
            </w:r>
          </w:p>
          <w:p w14:paraId="746200E5">
            <w:pPr>
              <w:spacing w:line="360" w:lineRule="auto"/>
              <w:ind w:firstLine="210"/>
              <w:jc w:val="left"/>
              <w:rPr>
                <w:color w:val="auto"/>
                <w:sz w:val="24"/>
                <w:szCs w:val="24"/>
                <w:highlight w:val="none"/>
              </w:rPr>
            </w:pPr>
            <w:r>
              <w:rPr>
                <w:color w:val="auto"/>
                <w:sz w:val="24"/>
                <w:szCs w:val="24"/>
                <w:highlight w:val="none"/>
              </w:rPr>
              <w:t>2.3 气温30℃以上时，每天洒水应不少于1次。</w:t>
            </w:r>
          </w:p>
          <w:p w14:paraId="7FE6D48B">
            <w:pPr>
              <w:spacing w:line="360" w:lineRule="auto"/>
              <w:ind w:firstLine="210"/>
              <w:jc w:val="left"/>
              <w:rPr>
                <w:color w:val="auto"/>
                <w:sz w:val="24"/>
                <w:szCs w:val="24"/>
                <w:highlight w:val="none"/>
              </w:rPr>
            </w:pPr>
            <w:r>
              <w:rPr>
                <w:color w:val="auto"/>
                <w:sz w:val="24"/>
                <w:szCs w:val="24"/>
                <w:highlight w:val="none"/>
              </w:rPr>
              <w:t>2.4作业质量标准：</w:t>
            </w:r>
          </w:p>
          <w:p w14:paraId="15D17670">
            <w:pPr>
              <w:spacing w:line="360" w:lineRule="auto"/>
              <w:ind w:firstLine="210"/>
              <w:jc w:val="left"/>
              <w:rPr>
                <w:color w:val="auto"/>
                <w:sz w:val="24"/>
                <w:szCs w:val="24"/>
                <w:highlight w:val="none"/>
              </w:rPr>
            </w:pPr>
            <w:r>
              <w:rPr>
                <w:color w:val="auto"/>
                <w:sz w:val="24"/>
                <w:szCs w:val="24"/>
                <w:highlight w:val="none"/>
              </w:rPr>
              <w:t>①做到无废弃物、无果皮纸屑、无塑料袋、无积泥、无污水及灰带等杂物。</w:t>
            </w:r>
          </w:p>
          <w:p w14:paraId="12FCFDFD">
            <w:pPr>
              <w:spacing w:line="360" w:lineRule="auto"/>
              <w:ind w:firstLine="210"/>
              <w:jc w:val="left"/>
              <w:rPr>
                <w:color w:val="auto"/>
                <w:sz w:val="24"/>
                <w:szCs w:val="24"/>
                <w:highlight w:val="none"/>
              </w:rPr>
            </w:pPr>
            <w:r>
              <w:rPr>
                <w:color w:val="auto"/>
                <w:sz w:val="24"/>
                <w:szCs w:val="24"/>
                <w:highlight w:val="none"/>
              </w:rPr>
              <w:t>②要做到路面畅通无堆积物，无垃圾乱倒，道路两侧无杂草，无污泥浊水，街巷路面干净。</w:t>
            </w:r>
          </w:p>
          <w:p w14:paraId="58D6CFF4">
            <w:pPr>
              <w:spacing w:line="360" w:lineRule="auto"/>
              <w:ind w:firstLine="210"/>
              <w:jc w:val="left"/>
              <w:rPr>
                <w:color w:val="auto"/>
                <w:sz w:val="24"/>
                <w:szCs w:val="24"/>
                <w:highlight w:val="none"/>
              </w:rPr>
            </w:pPr>
            <w:r>
              <w:rPr>
                <w:color w:val="auto"/>
                <w:sz w:val="24"/>
                <w:szCs w:val="24"/>
                <w:highlight w:val="none"/>
              </w:rPr>
              <w:t>③确保清扫保洁垃圾及时清运，做到日产日清。</w:t>
            </w:r>
          </w:p>
          <w:p w14:paraId="251EB163">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三级道路保洁质量要求：</w:t>
            </w:r>
          </w:p>
          <w:p w14:paraId="386D73D5">
            <w:pPr>
              <w:spacing w:line="360" w:lineRule="auto"/>
              <w:ind w:firstLine="210"/>
              <w:jc w:val="left"/>
              <w:rPr>
                <w:color w:val="auto"/>
                <w:sz w:val="24"/>
                <w:szCs w:val="24"/>
                <w:highlight w:val="none"/>
              </w:rPr>
            </w:pPr>
            <w:r>
              <w:rPr>
                <w:color w:val="auto"/>
                <w:sz w:val="24"/>
                <w:szCs w:val="24"/>
                <w:highlight w:val="none"/>
              </w:rPr>
              <w:t>3.1 应定时保洁，按三天一洗、七天一洗。</w:t>
            </w:r>
          </w:p>
          <w:p w14:paraId="1AD29DDC">
            <w:pPr>
              <w:spacing w:line="360" w:lineRule="auto"/>
              <w:ind w:firstLine="210"/>
              <w:jc w:val="left"/>
              <w:rPr>
                <w:color w:val="auto"/>
                <w:sz w:val="24"/>
                <w:szCs w:val="24"/>
                <w:highlight w:val="none"/>
              </w:rPr>
            </w:pPr>
            <w:r>
              <w:rPr>
                <w:color w:val="auto"/>
                <w:sz w:val="24"/>
                <w:szCs w:val="24"/>
                <w:highlight w:val="none"/>
              </w:rPr>
              <w:t>3.2 气温30℃以上时，每天洒水应不少于1次。</w:t>
            </w:r>
          </w:p>
          <w:p w14:paraId="330E29B7">
            <w:pPr>
              <w:spacing w:line="360" w:lineRule="auto"/>
              <w:ind w:firstLine="210"/>
              <w:jc w:val="left"/>
              <w:rPr>
                <w:color w:val="auto"/>
                <w:sz w:val="24"/>
                <w:szCs w:val="24"/>
                <w:highlight w:val="none"/>
              </w:rPr>
            </w:pPr>
            <w:r>
              <w:rPr>
                <w:color w:val="auto"/>
                <w:sz w:val="24"/>
                <w:szCs w:val="24"/>
                <w:highlight w:val="none"/>
              </w:rPr>
              <w:t>3.3作业质量标准：</w:t>
            </w:r>
          </w:p>
          <w:p w14:paraId="1EA11974">
            <w:pPr>
              <w:spacing w:line="360" w:lineRule="auto"/>
              <w:ind w:firstLine="210"/>
              <w:jc w:val="left"/>
              <w:rPr>
                <w:color w:val="auto"/>
                <w:sz w:val="24"/>
                <w:szCs w:val="24"/>
                <w:highlight w:val="none"/>
              </w:rPr>
            </w:pPr>
            <w:r>
              <w:rPr>
                <w:color w:val="auto"/>
                <w:sz w:val="24"/>
                <w:szCs w:val="24"/>
                <w:highlight w:val="none"/>
              </w:rPr>
              <w:t>①做到无废弃物、无果皮纸屑、无塑料袋、无积泥、无污水及灰带等杂物。</w:t>
            </w:r>
          </w:p>
          <w:p w14:paraId="2F6613C8">
            <w:pPr>
              <w:spacing w:line="360" w:lineRule="auto"/>
              <w:ind w:firstLine="210"/>
              <w:jc w:val="left"/>
              <w:rPr>
                <w:color w:val="auto"/>
                <w:sz w:val="24"/>
                <w:szCs w:val="24"/>
                <w:highlight w:val="none"/>
              </w:rPr>
            </w:pPr>
            <w:r>
              <w:rPr>
                <w:color w:val="auto"/>
                <w:sz w:val="24"/>
                <w:szCs w:val="24"/>
                <w:highlight w:val="none"/>
              </w:rPr>
              <w:t>②要做到路面畅通无堆积物，无垃圾乱倒，道路两侧无杂草，无污泥浊水，街巷路面干净。</w:t>
            </w:r>
          </w:p>
          <w:p w14:paraId="1EE453EE">
            <w:pPr>
              <w:spacing w:line="360" w:lineRule="auto"/>
              <w:ind w:firstLine="210"/>
              <w:jc w:val="left"/>
              <w:rPr>
                <w:color w:val="auto"/>
                <w:sz w:val="24"/>
                <w:szCs w:val="24"/>
                <w:highlight w:val="none"/>
              </w:rPr>
            </w:pPr>
            <w:r>
              <w:rPr>
                <w:color w:val="auto"/>
                <w:sz w:val="24"/>
                <w:szCs w:val="24"/>
                <w:highlight w:val="none"/>
              </w:rPr>
              <w:t>③确保清扫保洁垃圾及时清运，做到日产日清。</w:t>
            </w:r>
          </w:p>
          <w:p w14:paraId="232A7271">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四级道路保洁质量要求：</w:t>
            </w:r>
          </w:p>
          <w:p w14:paraId="10906094">
            <w:pPr>
              <w:spacing w:line="360" w:lineRule="auto"/>
              <w:ind w:firstLine="210"/>
              <w:jc w:val="left"/>
              <w:rPr>
                <w:color w:val="auto"/>
                <w:sz w:val="24"/>
                <w:szCs w:val="24"/>
                <w:highlight w:val="none"/>
              </w:rPr>
            </w:pPr>
            <w:r>
              <w:rPr>
                <w:color w:val="auto"/>
                <w:sz w:val="24"/>
                <w:szCs w:val="24"/>
                <w:highlight w:val="none"/>
              </w:rPr>
              <w:t>4.1 每天应清扫1～2次。</w:t>
            </w:r>
          </w:p>
          <w:p w14:paraId="70756249">
            <w:pPr>
              <w:spacing w:line="360" w:lineRule="auto"/>
              <w:ind w:firstLine="210"/>
              <w:jc w:val="left"/>
              <w:rPr>
                <w:color w:val="auto"/>
                <w:sz w:val="24"/>
                <w:szCs w:val="24"/>
                <w:highlight w:val="none"/>
              </w:rPr>
            </w:pPr>
            <w:r>
              <w:rPr>
                <w:color w:val="auto"/>
                <w:sz w:val="24"/>
                <w:szCs w:val="24"/>
                <w:highlight w:val="none"/>
              </w:rPr>
              <w:t>4.2 部分路段应实行定时保洁。</w:t>
            </w:r>
          </w:p>
          <w:p w14:paraId="4E041D6E">
            <w:pPr>
              <w:spacing w:line="360" w:lineRule="auto"/>
              <w:ind w:firstLine="210"/>
              <w:jc w:val="left"/>
              <w:rPr>
                <w:color w:val="auto"/>
                <w:sz w:val="24"/>
                <w:szCs w:val="24"/>
                <w:highlight w:val="none"/>
              </w:rPr>
            </w:pPr>
            <w:r>
              <w:rPr>
                <w:color w:val="auto"/>
                <w:sz w:val="24"/>
                <w:szCs w:val="24"/>
                <w:highlight w:val="none"/>
              </w:rPr>
              <w:t>4.3 桥面的保洁质量应与所连接的道路保洁质量标准相同。桥栏杆应整洁，无乱贴、乱画。</w:t>
            </w:r>
          </w:p>
          <w:p w14:paraId="4D2A8871">
            <w:pPr>
              <w:spacing w:line="360" w:lineRule="auto"/>
              <w:ind w:firstLine="210"/>
              <w:jc w:val="left"/>
              <w:rPr>
                <w:color w:val="auto"/>
                <w:sz w:val="24"/>
                <w:szCs w:val="24"/>
                <w:highlight w:val="none"/>
              </w:rPr>
            </w:pPr>
            <w:r>
              <w:rPr>
                <w:color w:val="auto"/>
                <w:sz w:val="24"/>
                <w:szCs w:val="24"/>
                <w:highlight w:val="none"/>
              </w:rPr>
              <w:t>4.4 人行天桥桥面保洁质量应与一级道路保洁质量标准相同。阶梯、扶手、栏杆应干净。</w:t>
            </w:r>
          </w:p>
          <w:p w14:paraId="373C725B">
            <w:pPr>
              <w:spacing w:line="360" w:lineRule="auto"/>
              <w:ind w:firstLine="210"/>
              <w:jc w:val="left"/>
              <w:rPr>
                <w:color w:val="auto"/>
                <w:sz w:val="24"/>
                <w:szCs w:val="24"/>
                <w:highlight w:val="none"/>
              </w:rPr>
            </w:pPr>
            <w:r>
              <w:rPr>
                <w:color w:val="auto"/>
                <w:sz w:val="24"/>
                <w:szCs w:val="24"/>
                <w:highlight w:val="none"/>
              </w:rPr>
              <w:t>4.5 车行隧道的路面应干净，无积存污水和垃圾；隧道两壁应无明显污物；隧道进出口保洁质量应与所连接路段保洁质量标准相同。</w:t>
            </w:r>
          </w:p>
          <w:p w14:paraId="698E46E0">
            <w:pPr>
              <w:spacing w:line="360" w:lineRule="auto"/>
              <w:ind w:firstLine="210"/>
              <w:jc w:val="left"/>
              <w:rPr>
                <w:color w:val="auto"/>
                <w:sz w:val="24"/>
                <w:szCs w:val="24"/>
                <w:highlight w:val="none"/>
              </w:rPr>
            </w:pPr>
            <w:r>
              <w:rPr>
                <w:color w:val="auto"/>
                <w:sz w:val="24"/>
                <w:szCs w:val="24"/>
                <w:highlight w:val="none"/>
              </w:rPr>
              <w:t>4.6作业质量标准：</w:t>
            </w:r>
          </w:p>
          <w:p w14:paraId="499CC866">
            <w:pPr>
              <w:spacing w:line="360" w:lineRule="auto"/>
              <w:ind w:firstLine="210"/>
              <w:jc w:val="left"/>
              <w:rPr>
                <w:color w:val="auto"/>
                <w:sz w:val="24"/>
                <w:szCs w:val="24"/>
                <w:highlight w:val="none"/>
              </w:rPr>
            </w:pPr>
            <w:r>
              <w:rPr>
                <w:color w:val="auto"/>
                <w:sz w:val="24"/>
                <w:szCs w:val="24"/>
                <w:highlight w:val="none"/>
              </w:rPr>
              <w:t>①做到无废弃物、无果皮纸屑、无塑料袋、无积泥、无污水及灰带等杂物。</w:t>
            </w:r>
          </w:p>
          <w:p w14:paraId="69A114FE">
            <w:pPr>
              <w:spacing w:line="360" w:lineRule="auto"/>
              <w:ind w:firstLine="210"/>
              <w:jc w:val="left"/>
              <w:rPr>
                <w:color w:val="auto"/>
                <w:sz w:val="24"/>
                <w:szCs w:val="24"/>
                <w:highlight w:val="none"/>
              </w:rPr>
            </w:pPr>
            <w:r>
              <w:rPr>
                <w:color w:val="auto"/>
                <w:sz w:val="24"/>
                <w:szCs w:val="24"/>
                <w:highlight w:val="none"/>
              </w:rPr>
              <w:t>②要做到路面畅通无堆积物，无垃圾乱倒，道路两侧无杂草，无污泥浊水，街巷路面干净。</w:t>
            </w:r>
          </w:p>
          <w:p w14:paraId="7A966F7F">
            <w:pPr>
              <w:spacing w:line="360" w:lineRule="auto"/>
              <w:ind w:firstLine="210"/>
              <w:jc w:val="left"/>
              <w:rPr>
                <w:color w:val="auto"/>
                <w:sz w:val="24"/>
                <w:szCs w:val="24"/>
                <w:highlight w:val="none"/>
              </w:rPr>
            </w:pPr>
            <w:r>
              <w:rPr>
                <w:color w:val="auto"/>
                <w:sz w:val="24"/>
                <w:szCs w:val="24"/>
                <w:highlight w:val="none"/>
              </w:rPr>
              <w:t>③确保清扫保洁垃圾及时清运，做到日产日清。</w:t>
            </w:r>
          </w:p>
          <w:p w14:paraId="73AE48FB">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绿地和绿化带、树穴保洁：</w:t>
            </w:r>
          </w:p>
          <w:p w14:paraId="556D37CC">
            <w:pPr>
              <w:spacing w:line="360" w:lineRule="auto"/>
              <w:ind w:firstLine="210"/>
              <w:jc w:val="left"/>
              <w:rPr>
                <w:color w:val="auto"/>
                <w:sz w:val="24"/>
                <w:szCs w:val="24"/>
                <w:highlight w:val="none"/>
              </w:rPr>
            </w:pPr>
            <w:r>
              <w:rPr>
                <w:color w:val="auto"/>
                <w:sz w:val="24"/>
                <w:szCs w:val="24"/>
                <w:highlight w:val="none"/>
              </w:rPr>
              <w:t>绿地和绿化带、树穴内垃圾杂物应及时清理，保持绿地和绿化带、树穴干净，无垃圾杂物。保洁时间按所属地段道路保洁，级别要求相同时间保洁。</w:t>
            </w:r>
          </w:p>
          <w:p w14:paraId="7CF0BAA4">
            <w:pPr>
              <w:spacing w:line="360" w:lineRule="auto"/>
              <w:jc w:val="left"/>
              <w:rPr>
                <w:color w:val="auto"/>
                <w:sz w:val="24"/>
                <w:szCs w:val="24"/>
                <w:highlight w:val="none"/>
              </w:rPr>
            </w:pP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护栏保洁标准：护栏清洗保洁要干净、整齐，见本底色。</w:t>
            </w:r>
          </w:p>
          <w:p w14:paraId="4D103575">
            <w:pPr>
              <w:spacing w:line="360" w:lineRule="auto"/>
              <w:jc w:val="left"/>
              <w:rPr>
                <w:color w:val="auto"/>
                <w:sz w:val="24"/>
                <w:szCs w:val="24"/>
                <w:highlight w:val="none"/>
              </w:rPr>
            </w:pP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公厕保洁标准：公厕的日常保洁管理要达到“六无、四净”标准，厕内及周围环境卫生做到“六无”（即：无痰涕纸屑、无屎尿溢塞、无积尘蛛网、无污泥积水、无蝇蛆、无明显臭味）、“四净”（即：地面、蹲位、挡墙净；粪槽、尿槽、池斗净；门窗设备净；周围环境净）。除“四害”要达到国家卫生城市标准。</w:t>
            </w:r>
          </w:p>
          <w:p w14:paraId="608A6D09">
            <w:pPr>
              <w:spacing w:line="360" w:lineRule="auto"/>
              <w:jc w:val="left"/>
              <w:rPr>
                <w:color w:val="auto"/>
                <w:sz w:val="24"/>
                <w:szCs w:val="24"/>
                <w:highlight w:val="none"/>
              </w:rPr>
            </w:pPr>
            <w:r>
              <w:rPr>
                <w:color w:val="auto"/>
                <w:sz w:val="24"/>
                <w:szCs w:val="24"/>
                <w:highlight w:val="none"/>
              </w:rPr>
              <w:t>8</w:t>
            </w:r>
            <w:r>
              <w:rPr>
                <w:rFonts w:hint="eastAsia"/>
                <w:color w:val="auto"/>
                <w:sz w:val="24"/>
                <w:szCs w:val="24"/>
                <w:highlight w:val="none"/>
                <w:lang w:eastAsia="zh-CN"/>
              </w:rPr>
              <w:t>、</w:t>
            </w:r>
            <w:r>
              <w:rPr>
                <w:color w:val="auto"/>
                <w:sz w:val="24"/>
                <w:szCs w:val="24"/>
                <w:highlight w:val="none"/>
              </w:rPr>
              <w:t>垃圾中转站的日常运转维护和管理要求及质量标准：</w:t>
            </w:r>
          </w:p>
          <w:p w14:paraId="325248B0">
            <w:pPr>
              <w:spacing w:line="360" w:lineRule="auto"/>
              <w:jc w:val="left"/>
              <w:rPr>
                <w:color w:val="auto"/>
                <w:sz w:val="24"/>
                <w:szCs w:val="24"/>
                <w:highlight w:val="none"/>
              </w:rPr>
            </w:pPr>
            <w:r>
              <w:rPr>
                <w:color w:val="auto"/>
                <w:sz w:val="24"/>
                <w:szCs w:val="24"/>
                <w:highlight w:val="none"/>
              </w:rPr>
              <w:t>8.1日常运转维护和管理要求：</w:t>
            </w:r>
          </w:p>
          <w:p w14:paraId="6440CA43">
            <w:pPr>
              <w:spacing w:line="360" w:lineRule="auto"/>
              <w:ind w:firstLine="210"/>
              <w:jc w:val="left"/>
              <w:rPr>
                <w:color w:val="auto"/>
                <w:sz w:val="24"/>
                <w:szCs w:val="24"/>
                <w:highlight w:val="none"/>
              </w:rPr>
            </w:pPr>
            <w:r>
              <w:rPr>
                <w:color w:val="auto"/>
                <w:sz w:val="24"/>
                <w:szCs w:val="24"/>
                <w:highlight w:val="none"/>
              </w:rPr>
              <w:t>①垃圾中转站每天开放时间从4:00－24:00时。</w:t>
            </w:r>
          </w:p>
          <w:p w14:paraId="6B0FBCEA">
            <w:pPr>
              <w:spacing w:line="360" w:lineRule="auto"/>
              <w:ind w:firstLine="210"/>
              <w:jc w:val="left"/>
              <w:rPr>
                <w:color w:val="auto"/>
                <w:sz w:val="24"/>
                <w:szCs w:val="24"/>
                <w:highlight w:val="none"/>
              </w:rPr>
            </w:pPr>
            <w:r>
              <w:rPr>
                <w:color w:val="auto"/>
                <w:sz w:val="24"/>
                <w:szCs w:val="24"/>
                <w:highlight w:val="none"/>
              </w:rPr>
              <w:t>②科学管理，认真操作，按照设备的使用及保养管理规定操作保养，确保安全生产无事故。</w:t>
            </w:r>
          </w:p>
          <w:p w14:paraId="455C93FB">
            <w:pPr>
              <w:spacing w:line="360" w:lineRule="auto"/>
              <w:ind w:firstLine="210"/>
              <w:jc w:val="left"/>
              <w:rPr>
                <w:color w:val="auto"/>
                <w:sz w:val="24"/>
                <w:szCs w:val="24"/>
                <w:highlight w:val="none"/>
              </w:rPr>
            </w:pPr>
            <w:r>
              <w:rPr>
                <w:color w:val="auto"/>
                <w:sz w:val="24"/>
                <w:szCs w:val="24"/>
                <w:highlight w:val="none"/>
              </w:rPr>
              <w:t>③不准在站内、周边</w:t>
            </w:r>
            <w:r>
              <w:rPr>
                <w:rFonts w:hint="eastAsia"/>
                <w:color w:val="auto"/>
                <w:sz w:val="24"/>
                <w:szCs w:val="24"/>
                <w:highlight w:val="none"/>
                <w:lang w:val="en-US" w:eastAsia="zh-CN"/>
              </w:rPr>
              <w:t>分</w:t>
            </w:r>
            <w:r>
              <w:rPr>
                <w:color w:val="auto"/>
                <w:sz w:val="24"/>
                <w:szCs w:val="24"/>
                <w:highlight w:val="none"/>
              </w:rPr>
              <w:t>捡废物或乱堆放杂物。</w:t>
            </w:r>
          </w:p>
          <w:p w14:paraId="393A0F8C">
            <w:pPr>
              <w:spacing w:line="360" w:lineRule="auto"/>
              <w:ind w:firstLine="210"/>
              <w:jc w:val="left"/>
              <w:rPr>
                <w:color w:val="auto"/>
                <w:sz w:val="24"/>
                <w:szCs w:val="24"/>
                <w:highlight w:val="none"/>
              </w:rPr>
            </w:pPr>
            <w:r>
              <w:rPr>
                <w:color w:val="auto"/>
                <w:sz w:val="24"/>
                <w:szCs w:val="24"/>
                <w:highlight w:val="none"/>
              </w:rPr>
              <w:t>④搞好站内卫生工作，站内随脏即保洁，每班次完工后，将地面清洗干净、拖干。</w:t>
            </w:r>
          </w:p>
          <w:p w14:paraId="6A1B10A3">
            <w:pPr>
              <w:spacing w:line="360" w:lineRule="auto"/>
              <w:ind w:firstLine="210"/>
              <w:jc w:val="left"/>
              <w:rPr>
                <w:color w:val="auto"/>
                <w:sz w:val="24"/>
                <w:szCs w:val="24"/>
                <w:highlight w:val="none"/>
              </w:rPr>
            </w:pPr>
            <w:r>
              <w:rPr>
                <w:color w:val="auto"/>
                <w:sz w:val="24"/>
                <w:szCs w:val="24"/>
                <w:highlight w:val="none"/>
              </w:rPr>
              <w:t>⑤每天大洗一次，定期消毒、除“四害”、除臭、降尘。</w:t>
            </w:r>
          </w:p>
          <w:p w14:paraId="4A253DE7">
            <w:pPr>
              <w:spacing w:line="360" w:lineRule="auto"/>
              <w:ind w:firstLine="210"/>
              <w:jc w:val="left"/>
              <w:rPr>
                <w:color w:val="auto"/>
                <w:sz w:val="24"/>
                <w:szCs w:val="24"/>
                <w:highlight w:val="none"/>
              </w:rPr>
            </w:pPr>
            <w:r>
              <w:rPr>
                <w:color w:val="auto"/>
                <w:sz w:val="24"/>
                <w:szCs w:val="24"/>
                <w:highlight w:val="none"/>
              </w:rPr>
              <w:t>⑥每天清理一次中转站周边环境卫生、除杂草、清理乱张贴乱涂写等广告和站外墙面灰尘等。</w:t>
            </w:r>
          </w:p>
          <w:p w14:paraId="0621F061">
            <w:pPr>
              <w:spacing w:line="360" w:lineRule="auto"/>
              <w:ind w:firstLine="210"/>
              <w:jc w:val="left"/>
              <w:rPr>
                <w:color w:val="auto"/>
                <w:sz w:val="24"/>
                <w:szCs w:val="24"/>
                <w:highlight w:val="none"/>
              </w:rPr>
            </w:pPr>
            <w:r>
              <w:rPr>
                <w:color w:val="auto"/>
                <w:sz w:val="24"/>
                <w:szCs w:val="24"/>
                <w:highlight w:val="none"/>
              </w:rPr>
              <w:t>⑦配足够车辆车</w:t>
            </w:r>
            <w:r>
              <w:rPr>
                <w:rFonts w:hint="eastAsia" w:cs="宋体"/>
                <w:color w:val="auto"/>
                <w:sz w:val="24"/>
                <w:szCs w:val="24"/>
                <w:highlight w:val="none"/>
                <w:lang w:eastAsia="zh-CN"/>
              </w:rPr>
              <w:t>箱</w:t>
            </w:r>
            <w:r>
              <w:rPr>
                <w:color w:val="auto"/>
                <w:sz w:val="24"/>
                <w:szCs w:val="24"/>
                <w:highlight w:val="none"/>
              </w:rPr>
              <w:t>保证转运及时，工人等待倾倒垃圾时间不得超过30分钟。</w:t>
            </w:r>
          </w:p>
          <w:p w14:paraId="744B4969">
            <w:pPr>
              <w:spacing w:line="360" w:lineRule="auto"/>
              <w:ind w:firstLine="210"/>
              <w:jc w:val="left"/>
              <w:rPr>
                <w:color w:val="auto"/>
                <w:sz w:val="24"/>
                <w:szCs w:val="24"/>
                <w:highlight w:val="none"/>
              </w:rPr>
            </w:pPr>
            <w:r>
              <w:rPr>
                <w:color w:val="auto"/>
                <w:sz w:val="24"/>
                <w:szCs w:val="24"/>
                <w:highlight w:val="none"/>
              </w:rPr>
              <w:t>⑧工作完毕后，及时认真做好每日的工作记录。</w:t>
            </w:r>
          </w:p>
          <w:p w14:paraId="1D10A541">
            <w:pPr>
              <w:spacing w:line="360" w:lineRule="auto"/>
              <w:jc w:val="left"/>
              <w:rPr>
                <w:color w:val="auto"/>
                <w:sz w:val="24"/>
                <w:szCs w:val="24"/>
                <w:highlight w:val="none"/>
              </w:rPr>
            </w:pPr>
            <w:r>
              <w:rPr>
                <w:color w:val="auto"/>
                <w:sz w:val="24"/>
                <w:szCs w:val="24"/>
                <w:highlight w:val="none"/>
              </w:rPr>
              <w:t>8.2作业质量标准：</w:t>
            </w:r>
          </w:p>
          <w:p w14:paraId="4578D412">
            <w:pPr>
              <w:spacing w:line="360" w:lineRule="auto"/>
              <w:ind w:firstLine="210"/>
              <w:jc w:val="left"/>
              <w:rPr>
                <w:color w:val="auto"/>
                <w:sz w:val="24"/>
                <w:szCs w:val="24"/>
                <w:highlight w:val="none"/>
              </w:rPr>
            </w:pPr>
            <w:r>
              <w:rPr>
                <w:color w:val="auto"/>
                <w:sz w:val="24"/>
                <w:szCs w:val="24"/>
                <w:highlight w:val="none"/>
              </w:rPr>
              <w:t>①做到“四净”，即：环境净、设备净、墙壁净、地面净。</w:t>
            </w:r>
          </w:p>
          <w:p w14:paraId="66003486">
            <w:pPr>
              <w:spacing w:line="360" w:lineRule="auto"/>
              <w:ind w:firstLine="210"/>
              <w:jc w:val="left"/>
              <w:rPr>
                <w:color w:val="auto"/>
                <w:sz w:val="24"/>
                <w:szCs w:val="24"/>
                <w:highlight w:val="none"/>
              </w:rPr>
            </w:pPr>
            <w:r>
              <w:rPr>
                <w:color w:val="auto"/>
                <w:sz w:val="24"/>
                <w:szCs w:val="24"/>
                <w:highlight w:val="none"/>
              </w:rPr>
              <w:t>②消毒、除“四害”、除臭工作效果达到国家卫生城市标准，可视范围苍蝇不得超过3只，无鼠迹。</w:t>
            </w:r>
          </w:p>
          <w:p w14:paraId="465D0A71">
            <w:pPr>
              <w:spacing w:line="360" w:lineRule="auto"/>
              <w:jc w:val="left"/>
              <w:rPr>
                <w:color w:val="auto"/>
                <w:sz w:val="24"/>
                <w:szCs w:val="24"/>
                <w:highlight w:val="none"/>
              </w:rPr>
            </w:pPr>
            <w:r>
              <w:rPr>
                <w:color w:val="auto"/>
                <w:sz w:val="24"/>
                <w:szCs w:val="24"/>
                <w:highlight w:val="none"/>
              </w:rPr>
              <w:t>9</w:t>
            </w:r>
            <w:r>
              <w:rPr>
                <w:rFonts w:hint="eastAsia"/>
                <w:color w:val="auto"/>
                <w:sz w:val="24"/>
                <w:szCs w:val="24"/>
                <w:highlight w:val="none"/>
                <w:lang w:eastAsia="zh-CN"/>
              </w:rPr>
              <w:t>、</w:t>
            </w:r>
            <w:r>
              <w:rPr>
                <w:color w:val="auto"/>
                <w:sz w:val="24"/>
                <w:szCs w:val="24"/>
                <w:highlight w:val="none"/>
              </w:rPr>
              <w:t>果皮箱、垃圾桶作业质量标准：</w:t>
            </w:r>
          </w:p>
          <w:p w14:paraId="4247A500">
            <w:pPr>
              <w:spacing w:line="360" w:lineRule="auto"/>
              <w:jc w:val="lef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9.1</w:t>
            </w:r>
            <w:r>
              <w:rPr>
                <w:color w:val="auto"/>
                <w:sz w:val="24"/>
                <w:szCs w:val="24"/>
                <w:highlight w:val="none"/>
              </w:rPr>
              <w:t xml:space="preserve">果皮箱（废物箱）、垃圾箱：日常清理清洗保洁每天至少1次，每周对果皮箱（废物箱）、垃圾箱全面大清洗2-3次，清洗范围包括箱体内外、内胆（桶）及地面的污渍和乱涂乱写乱张贴等，达到内外干净整洁，外表无积泥积污、现本色，投递口整洁，周边地面无陈旧油污、无异味的标准。 </w:t>
            </w:r>
          </w:p>
          <w:p w14:paraId="59B9C515">
            <w:pPr>
              <w:spacing w:line="360" w:lineRule="auto"/>
              <w:jc w:val="lef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9.2</w:t>
            </w:r>
            <w:r>
              <w:rPr>
                <w:color w:val="auto"/>
                <w:sz w:val="24"/>
                <w:szCs w:val="24"/>
                <w:highlight w:val="none"/>
              </w:rPr>
              <w:t>垃圾桶（箱）：每天至少清理保洁1次，原则上使用平板车（钩臂车）收集到中转站倾倒垃圾后，即要全面冲洗干净（内外）才能摆回。每周对摆放的地面全面清冲洗至少2-3次，确保地面无污迹、无异味。</w:t>
            </w:r>
          </w:p>
          <w:p w14:paraId="77AF07AF">
            <w:pPr>
              <w:spacing w:line="360" w:lineRule="auto"/>
              <w:jc w:val="lef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9.3</w:t>
            </w:r>
            <w:r>
              <w:rPr>
                <w:color w:val="auto"/>
                <w:sz w:val="24"/>
                <w:szCs w:val="24"/>
                <w:highlight w:val="none"/>
              </w:rPr>
              <w:t>果皮箱（废物箱）、垃圾箱、垃圾桶需要更新的质量不能低于移交时的质量。</w:t>
            </w:r>
          </w:p>
          <w:p w14:paraId="25D20479">
            <w:pPr>
              <w:spacing w:line="360" w:lineRule="auto"/>
              <w:jc w:val="lef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9.4</w:t>
            </w:r>
            <w:r>
              <w:rPr>
                <w:color w:val="auto"/>
                <w:sz w:val="24"/>
                <w:szCs w:val="24"/>
                <w:highlight w:val="none"/>
              </w:rPr>
              <w:t>垃圾收集容器的设置要符合《环境卫生设施设置标准》。</w:t>
            </w:r>
          </w:p>
          <w:p w14:paraId="5D380254">
            <w:pPr>
              <w:spacing w:line="360" w:lineRule="auto"/>
              <w:jc w:val="lef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9.5</w:t>
            </w:r>
            <w:r>
              <w:rPr>
                <w:color w:val="auto"/>
                <w:sz w:val="24"/>
                <w:szCs w:val="24"/>
                <w:highlight w:val="none"/>
              </w:rPr>
              <w:t>除“四害”要达到国家卫生城市标准。</w:t>
            </w:r>
          </w:p>
        </w:tc>
      </w:tr>
      <w:tr w14:paraId="5630D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48BDB2F1">
            <w:pPr>
              <w:spacing w:line="360" w:lineRule="auto"/>
              <w:rPr>
                <w:color w:val="auto"/>
                <w:sz w:val="24"/>
                <w:szCs w:val="24"/>
                <w:highlight w:val="none"/>
              </w:rPr>
            </w:pPr>
          </w:p>
        </w:tc>
        <w:tc>
          <w:tcPr>
            <w:tcW w:w="673" w:type="dxa"/>
          </w:tcPr>
          <w:p w14:paraId="1009778C">
            <w:pPr>
              <w:spacing w:line="360" w:lineRule="auto"/>
              <w:rPr>
                <w:color w:val="auto"/>
                <w:sz w:val="24"/>
                <w:szCs w:val="24"/>
                <w:highlight w:val="none"/>
              </w:rPr>
            </w:pPr>
            <w:r>
              <w:rPr>
                <w:color w:val="auto"/>
                <w:sz w:val="24"/>
                <w:szCs w:val="24"/>
                <w:highlight w:val="none"/>
              </w:rPr>
              <w:t>6</w:t>
            </w:r>
          </w:p>
        </w:tc>
        <w:tc>
          <w:tcPr>
            <w:tcW w:w="8109" w:type="dxa"/>
          </w:tcPr>
          <w:p w14:paraId="0702E6DF">
            <w:pPr>
              <w:spacing w:line="360" w:lineRule="auto"/>
              <w:jc w:val="left"/>
              <w:rPr>
                <w:color w:val="auto"/>
                <w:sz w:val="24"/>
                <w:szCs w:val="24"/>
                <w:highlight w:val="none"/>
              </w:rPr>
            </w:pPr>
            <w:r>
              <w:rPr>
                <w:b/>
                <w:color w:val="auto"/>
                <w:sz w:val="24"/>
                <w:szCs w:val="24"/>
                <w:highlight w:val="none"/>
              </w:rPr>
              <w:t>人员要求</w:t>
            </w:r>
          </w:p>
          <w:p w14:paraId="15775335">
            <w:pPr>
              <w:numPr>
                <w:ilvl w:val="0"/>
                <w:numId w:val="0"/>
              </w:num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w:t>
            </w:r>
            <w:r>
              <w:rPr>
                <w:color w:val="auto"/>
                <w:sz w:val="24"/>
                <w:szCs w:val="24"/>
                <w:highlight w:val="none"/>
              </w:rPr>
              <w:t>中标人应优先聘用原有的环卫工人</w:t>
            </w:r>
            <w:r>
              <w:rPr>
                <w:rFonts w:hint="eastAsia"/>
                <w:color w:val="auto"/>
                <w:sz w:val="24"/>
                <w:szCs w:val="24"/>
                <w:highlight w:val="none"/>
                <w:lang w:eastAsia="zh-CN"/>
              </w:rPr>
              <w:t>。</w:t>
            </w:r>
            <w:r>
              <w:rPr>
                <w:color w:val="auto"/>
                <w:sz w:val="24"/>
                <w:szCs w:val="24"/>
                <w:highlight w:val="none"/>
              </w:rPr>
              <w:t>在合同履行时，必须全部接受上一中标公司的环卫工人，一个月内不得以非正常理由辞退原有环卫工人（除因工作失职、屡教不改等表现不好或因本人要求辞职以及违反政策法规等原因之外），第二个月后方可决定工人留用或解聘</w:t>
            </w:r>
            <w:r>
              <w:rPr>
                <w:rFonts w:hint="eastAsia"/>
                <w:color w:val="auto"/>
                <w:sz w:val="24"/>
                <w:szCs w:val="24"/>
                <w:highlight w:val="none"/>
                <w:lang w:eastAsia="zh-CN"/>
              </w:rPr>
              <w:t>。</w:t>
            </w:r>
            <w:r>
              <w:rPr>
                <w:color w:val="auto"/>
                <w:sz w:val="24"/>
                <w:szCs w:val="24"/>
                <w:highlight w:val="none"/>
              </w:rPr>
              <w:t>必须依照我国《</w:t>
            </w:r>
            <w:r>
              <w:rPr>
                <w:rFonts w:hint="eastAsia"/>
                <w:color w:val="auto"/>
                <w:sz w:val="24"/>
                <w:szCs w:val="24"/>
                <w:highlight w:val="none"/>
                <w:lang w:eastAsia="zh-CN"/>
              </w:rPr>
              <w:t>中华人民共和国劳动合同法</w:t>
            </w:r>
            <w:r>
              <w:rPr>
                <w:color w:val="auto"/>
                <w:sz w:val="24"/>
                <w:szCs w:val="24"/>
                <w:highlight w:val="none"/>
              </w:rPr>
              <w:t>》的有关规定与环卫工人签订劳动合同，支付不低于揭阳市最低工资标准130%的工人工资，并按规定发放环卫津贴、高温津贴、加班费等，依法缴纳社会保险（养老、失业、工伤、生育、医疗）。如遇到政策性规定的最低工资、环卫津贴、高温津贴等提高，由中标人负责。</w:t>
            </w:r>
            <w:r>
              <w:rPr>
                <w:color w:val="auto"/>
                <w:sz w:val="24"/>
                <w:szCs w:val="24"/>
                <w:highlight w:val="none"/>
              </w:rPr>
              <w:br w:type="textWrapping"/>
            </w:r>
            <w:r>
              <w:rPr>
                <w:rFonts w:hint="eastAsia"/>
                <w:color w:val="auto"/>
                <w:sz w:val="24"/>
                <w:szCs w:val="24"/>
                <w:highlight w:val="none"/>
                <w:lang w:val="en-US" w:eastAsia="zh-CN"/>
              </w:rPr>
              <w:t>2、</w:t>
            </w:r>
            <w:r>
              <w:rPr>
                <w:rFonts w:hint="eastAsia"/>
                <w:color w:val="auto"/>
                <w:sz w:val="24"/>
                <w:szCs w:val="24"/>
                <w:highlight w:val="none"/>
                <w:lang w:eastAsia="zh-CN"/>
              </w:rPr>
              <w:t>人工作业应合理布工，人工清扫、保洁作业，</w:t>
            </w:r>
            <w:r>
              <w:rPr>
                <w:rFonts w:hint="eastAsia"/>
                <w:color w:val="auto"/>
                <w:sz w:val="24"/>
                <w:szCs w:val="24"/>
                <w:highlight w:val="none"/>
                <w:lang w:val="en-US" w:eastAsia="zh-CN"/>
              </w:rPr>
              <w:t>一级道路（主干道）4500㎡/人，二级道路（次干道）5000㎡/人，三级道路（一般道路）5500㎡/人，四级道路（小街巷）6000㎡/人，每天反复扫，人口密集繁华地段应适当减少面积。</w:t>
            </w:r>
            <w:r>
              <w:rPr>
                <w:color w:val="auto"/>
                <w:sz w:val="24"/>
                <w:szCs w:val="24"/>
                <w:highlight w:val="none"/>
              </w:rPr>
              <w:t>服务期内一线作业人数</w:t>
            </w:r>
            <w:r>
              <w:rPr>
                <w:rFonts w:hint="eastAsia"/>
                <w:color w:val="auto"/>
                <w:sz w:val="24"/>
                <w:szCs w:val="24"/>
                <w:highlight w:val="none"/>
                <w:lang w:val="en-US" w:eastAsia="zh-CN"/>
              </w:rPr>
              <w:t>西</w:t>
            </w:r>
            <w:r>
              <w:rPr>
                <w:color w:val="auto"/>
                <w:sz w:val="24"/>
                <w:szCs w:val="24"/>
                <w:highlight w:val="none"/>
              </w:rPr>
              <w:t>片区应不少于</w:t>
            </w:r>
            <w:r>
              <w:rPr>
                <w:rFonts w:hint="eastAsia"/>
                <w:color w:val="auto"/>
                <w:sz w:val="24"/>
                <w:szCs w:val="24"/>
                <w:highlight w:val="none"/>
                <w:lang w:val="en-US" w:eastAsia="zh-CN"/>
              </w:rPr>
              <w:t>40</w:t>
            </w:r>
            <w:r>
              <w:rPr>
                <w:color w:val="auto"/>
                <w:sz w:val="24"/>
                <w:szCs w:val="24"/>
                <w:highlight w:val="none"/>
              </w:rPr>
              <w:t>0人（不含管理和司机、其他人员）</w:t>
            </w:r>
            <w:r>
              <w:rPr>
                <w:rFonts w:hint="eastAsia"/>
                <w:color w:val="auto"/>
                <w:sz w:val="24"/>
                <w:szCs w:val="24"/>
                <w:highlight w:val="none"/>
                <w:lang w:eastAsia="zh-CN"/>
              </w:rPr>
              <w:t>，</w:t>
            </w:r>
            <w:r>
              <w:rPr>
                <w:rFonts w:hint="eastAsia"/>
                <w:color w:val="auto"/>
                <w:sz w:val="24"/>
                <w:szCs w:val="24"/>
                <w:highlight w:val="none"/>
                <w:lang w:val="en-US" w:eastAsia="zh-CN"/>
              </w:rPr>
              <w:t>人员配置详见公告附件《人员配置表》。鼓励中标人推广自动化、智能化机械作业，若有，则上述人数要求可作适当调整</w:t>
            </w:r>
            <w:r>
              <w:rPr>
                <w:rFonts w:hint="eastAsia"/>
                <w:color w:val="auto"/>
                <w:sz w:val="24"/>
                <w:szCs w:val="24"/>
                <w:highlight w:val="none"/>
                <w:lang w:eastAsia="zh-CN"/>
              </w:rPr>
              <w:t>。</w:t>
            </w:r>
          </w:p>
          <w:p w14:paraId="62061E56">
            <w:pPr>
              <w:spacing w:line="360" w:lineRule="auto"/>
              <w:jc w:val="left"/>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中标人必须按月足额发放工人薪酬，同时按有关的要求购买社会保险，如发生因中标人责任造成的欠薪事件，造成恶劣影响的，采购人有权单方终止合同，同时没收履约保证金。</w:t>
            </w:r>
          </w:p>
        </w:tc>
      </w:tr>
      <w:tr w14:paraId="0C3AC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2C6CEDE7">
            <w:pPr>
              <w:spacing w:line="360" w:lineRule="auto"/>
              <w:rPr>
                <w:color w:val="auto"/>
                <w:sz w:val="24"/>
                <w:szCs w:val="24"/>
                <w:highlight w:val="none"/>
              </w:rPr>
            </w:pPr>
          </w:p>
        </w:tc>
        <w:tc>
          <w:tcPr>
            <w:tcW w:w="673" w:type="dxa"/>
          </w:tcPr>
          <w:p w14:paraId="0363A996">
            <w:pPr>
              <w:spacing w:line="360" w:lineRule="auto"/>
              <w:rPr>
                <w:color w:val="auto"/>
                <w:sz w:val="24"/>
                <w:szCs w:val="24"/>
                <w:highlight w:val="none"/>
              </w:rPr>
            </w:pPr>
            <w:r>
              <w:rPr>
                <w:color w:val="auto"/>
                <w:sz w:val="24"/>
                <w:szCs w:val="24"/>
                <w:highlight w:val="none"/>
              </w:rPr>
              <w:t>7</w:t>
            </w:r>
          </w:p>
        </w:tc>
        <w:tc>
          <w:tcPr>
            <w:tcW w:w="8109" w:type="dxa"/>
          </w:tcPr>
          <w:p w14:paraId="49ABD920">
            <w:pPr>
              <w:spacing w:line="360" w:lineRule="auto"/>
              <w:jc w:val="left"/>
              <w:rPr>
                <w:color w:val="auto"/>
                <w:sz w:val="24"/>
                <w:szCs w:val="24"/>
                <w:highlight w:val="none"/>
              </w:rPr>
            </w:pPr>
            <w:r>
              <w:rPr>
                <w:b/>
                <w:color w:val="auto"/>
                <w:sz w:val="24"/>
                <w:szCs w:val="24"/>
                <w:highlight w:val="none"/>
              </w:rPr>
              <w:t>环卫设施设备投入</w:t>
            </w:r>
          </w:p>
          <w:p w14:paraId="429DB2DE">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中标人自行配置办公场地等设施。</w:t>
            </w:r>
          </w:p>
          <w:p w14:paraId="7B75E58A">
            <w:pPr>
              <w:spacing w:line="360" w:lineRule="auto"/>
              <w:jc w:val="left"/>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设备要求：</w:t>
            </w:r>
          </w:p>
          <w:tbl>
            <w:tblPr>
              <w:tblStyle w:val="13"/>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4"/>
              <w:gridCol w:w="1640"/>
              <w:gridCol w:w="3278"/>
              <w:gridCol w:w="1964"/>
            </w:tblGrid>
            <w:tr w14:paraId="640C2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single" w:color="000000" w:sz="8" w:space="0"/>
                    <w:left w:val="single" w:color="000000" w:sz="8" w:space="0"/>
                    <w:bottom w:val="single" w:color="000000" w:sz="8" w:space="0"/>
                    <w:right w:val="single" w:color="000000" w:sz="8" w:space="0"/>
                  </w:tcBorders>
                  <w:vAlign w:val="center"/>
                </w:tcPr>
                <w:p w14:paraId="67B8DC05">
                  <w:pPr>
                    <w:spacing w:line="360" w:lineRule="auto"/>
                    <w:jc w:val="both"/>
                    <w:rPr>
                      <w:color w:val="auto"/>
                      <w:sz w:val="24"/>
                      <w:szCs w:val="24"/>
                      <w:highlight w:val="none"/>
                    </w:rPr>
                  </w:pPr>
                  <w:r>
                    <w:rPr>
                      <w:color w:val="auto"/>
                      <w:sz w:val="24"/>
                      <w:szCs w:val="24"/>
                      <w:highlight w:val="none"/>
                    </w:rPr>
                    <w:t>序号</w:t>
                  </w:r>
                </w:p>
              </w:tc>
              <w:tc>
                <w:tcPr>
                  <w:tcW w:w="1640" w:type="dxa"/>
                  <w:tcBorders>
                    <w:top w:val="single" w:color="000000" w:sz="8" w:space="0"/>
                    <w:left w:val="nil"/>
                    <w:bottom w:val="single" w:color="000000" w:sz="8" w:space="0"/>
                    <w:right w:val="single" w:color="000000" w:sz="8" w:space="0"/>
                  </w:tcBorders>
                  <w:vAlign w:val="center"/>
                </w:tcPr>
                <w:p w14:paraId="724433EE">
                  <w:pPr>
                    <w:spacing w:line="360" w:lineRule="auto"/>
                    <w:jc w:val="both"/>
                    <w:rPr>
                      <w:color w:val="auto"/>
                      <w:sz w:val="24"/>
                      <w:szCs w:val="24"/>
                      <w:highlight w:val="none"/>
                    </w:rPr>
                  </w:pPr>
                  <w:r>
                    <w:rPr>
                      <w:color w:val="auto"/>
                      <w:sz w:val="24"/>
                      <w:szCs w:val="24"/>
                      <w:highlight w:val="none"/>
                    </w:rPr>
                    <w:t>设备名称</w:t>
                  </w:r>
                </w:p>
              </w:tc>
              <w:tc>
                <w:tcPr>
                  <w:tcW w:w="3278" w:type="dxa"/>
                  <w:tcBorders>
                    <w:top w:val="single" w:color="000000" w:sz="8" w:space="0"/>
                    <w:left w:val="nil"/>
                    <w:bottom w:val="single" w:color="000000" w:sz="8" w:space="0"/>
                    <w:right w:val="single" w:color="000000" w:sz="8" w:space="0"/>
                  </w:tcBorders>
                  <w:vAlign w:val="center"/>
                </w:tcPr>
                <w:p w14:paraId="408E5F8A">
                  <w:pPr>
                    <w:spacing w:line="360" w:lineRule="auto"/>
                    <w:jc w:val="both"/>
                    <w:rPr>
                      <w:color w:val="auto"/>
                      <w:sz w:val="24"/>
                      <w:szCs w:val="24"/>
                      <w:highlight w:val="none"/>
                    </w:rPr>
                  </w:pPr>
                  <w:r>
                    <w:rPr>
                      <w:color w:val="auto"/>
                      <w:sz w:val="24"/>
                      <w:szCs w:val="24"/>
                      <w:highlight w:val="none"/>
                    </w:rPr>
                    <w:t>数量</w:t>
                  </w:r>
                </w:p>
              </w:tc>
              <w:tc>
                <w:tcPr>
                  <w:tcW w:w="1964" w:type="dxa"/>
                  <w:tcBorders>
                    <w:top w:val="single" w:color="000000" w:sz="8" w:space="0"/>
                    <w:left w:val="nil"/>
                    <w:bottom w:val="single" w:color="000000" w:sz="8" w:space="0"/>
                    <w:right w:val="single" w:color="000000" w:sz="8" w:space="0"/>
                  </w:tcBorders>
                  <w:vAlign w:val="center"/>
                </w:tcPr>
                <w:p w14:paraId="4F025BA3">
                  <w:pPr>
                    <w:spacing w:line="360" w:lineRule="auto"/>
                    <w:jc w:val="both"/>
                    <w:rPr>
                      <w:color w:val="auto"/>
                      <w:sz w:val="24"/>
                      <w:szCs w:val="24"/>
                      <w:highlight w:val="none"/>
                    </w:rPr>
                  </w:pPr>
                  <w:r>
                    <w:rPr>
                      <w:color w:val="auto"/>
                      <w:sz w:val="24"/>
                      <w:szCs w:val="24"/>
                      <w:highlight w:val="none"/>
                    </w:rPr>
                    <w:t>备注</w:t>
                  </w:r>
                </w:p>
              </w:tc>
            </w:tr>
            <w:tr w14:paraId="1BAC0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8" w:space="0"/>
                    <w:bottom w:val="single" w:color="000000" w:sz="8" w:space="0"/>
                    <w:right w:val="single" w:color="000000" w:sz="8" w:space="0"/>
                  </w:tcBorders>
                  <w:vAlign w:val="center"/>
                </w:tcPr>
                <w:p w14:paraId="21A3781D">
                  <w:pPr>
                    <w:spacing w:line="360" w:lineRule="auto"/>
                    <w:jc w:val="both"/>
                    <w:rPr>
                      <w:color w:val="auto"/>
                      <w:sz w:val="24"/>
                      <w:szCs w:val="24"/>
                      <w:highlight w:val="none"/>
                    </w:rPr>
                  </w:pPr>
                  <w:r>
                    <w:rPr>
                      <w:color w:val="auto"/>
                      <w:sz w:val="24"/>
                      <w:szCs w:val="24"/>
                      <w:highlight w:val="none"/>
                    </w:rPr>
                    <w:t>1</w:t>
                  </w:r>
                </w:p>
              </w:tc>
              <w:tc>
                <w:tcPr>
                  <w:tcW w:w="1640" w:type="dxa"/>
                  <w:tcBorders>
                    <w:top w:val="nil"/>
                    <w:left w:val="nil"/>
                    <w:bottom w:val="single" w:color="000000" w:sz="8" w:space="0"/>
                    <w:right w:val="single" w:color="000000" w:sz="8" w:space="0"/>
                  </w:tcBorders>
                  <w:vAlign w:val="center"/>
                </w:tcPr>
                <w:p w14:paraId="62D2C5FA">
                  <w:pPr>
                    <w:spacing w:line="360" w:lineRule="auto"/>
                    <w:jc w:val="both"/>
                    <w:rPr>
                      <w:color w:val="auto"/>
                      <w:sz w:val="24"/>
                      <w:szCs w:val="24"/>
                      <w:highlight w:val="none"/>
                    </w:rPr>
                  </w:pPr>
                  <w:r>
                    <w:rPr>
                      <w:color w:val="auto"/>
                      <w:sz w:val="24"/>
                      <w:szCs w:val="24"/>
                      <w:highlight w:val="none"/>
                    </w:rPr>
                    <w:t>垃圾运输车辆</w:t>
                  </w:r>
                </w:p>
              </w:tc>
              <w:tc>
                <w:tcPr>
                  <w:tcW w:w="3278" w:type="dxa"/>
                  <w:tcBorders>
                    <w:top w:val="nil"/>
                    <w:left w:val="nil"/>
                    <w:bottom w:val="single" w:color="000000" w:sz="8" w:space="0"/>
                    <w:right w:val="single" w:color="000000" w:sz="8" w:space="0"/>
                  </w:tcBorders>
                  <w:vAlign w:val="center"/>
                </w:tcPr>
                <w:p w14:paraId="2D3B1D24">
                  <w:pPr>
                    <w:spacing w:line="360" w:lineRule="auto"/>
                    <w:jc w:val="both"/>
                    <w:rPr>
                      <w:color w:val="auto"/>
                      <w:sz w:val="24"/>
                      <w:szCs w:val="24"/>
                      <w:highlight w:val="none"/>
                    </w:rPr>
                  </w:pPr>
                  <w:r>
                    <w:rPr>
                      <w:color w:val="auto"/>
                      <w:sz w:val="24"/>
                      <w:szCs w:val="24"/>
                      <w:highlight w:val="none"/>
                    </w:rPr>
                    <w:t>按压缩站每站1.2辆运输车配设，箱体按车位2车位1箱、3车位2箱（即每站只留1车位为倒运箱位），每辆运输车带1箱比例配设。</w:t>
                  </w:r>
                </w:p>
              </w:tc>
              <w:tc>
                <w:tcPr>
                  <w:tcW w:w="1964" w:type="dxa"/>
                  <w:tcBorders>
                    <w:top w:val="nil"/>
                    <w:left w:val="nil"/>
                    <w:bottom w:val="single" w:color="000000" w:sz="8" w:space="0"/>
                    <w:right w:val="single" w:color="000000" w:sz="8" w:space="0"/>
                  </w:tcBorders>
                  <w:vAlign w:val="center"/>
                </w:tcPr>
                <w:p w14:paraId="1EE9B01B">
                  <w:pPr>
                    <w:spacing w:line="360" w:lineRule="auto"/>
                    <w:jc w:val="both"/>
                    <w:rPr>
                      <w:color w:val="auto"/>
                      <w:sz w:val="24"/>
                      <w:szCs w:val="24"/>
                      <w:highlight w:val="none"/>
                    </w:rPr>
                  </w:pPr>
                  <w:r>
                    <w:rPr>
                      <w:color w:val="auto"/>
                      <w:sz w:val="24"/>
                      <w:szCs w:val="24"/>
                      <w:highlight w:val="none"/>
                    </w:rPr>
                    <w:t>满足垃圾分类运载需要</w:t>
                  </w:r>
                </w:p>
              </w:tc>
            </w:tr>
            <w:tr w14:paraId="09856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8" w:space="0"/>
                    <w:bottom w:val="single" w:color="000000" w:sz="8" w:space="0"/>
                    <w:right w:val="single" w:color="000000" w:sz="8" w:space="0"/>
                  </w:tcBorders>
                  <w:vAlign w:val="center"/>
                </w:tcPr>
                <w:p w14:paraId="2A75FD6B">
                  <w:pPr>
                    <w:spacing w:line="360" w:lineRule="auto"/>
                    <w:jc w:val="both"/>
                    <w:rPr>
                      <w:color w:val="auto"/>
                      <w:sz w:val="24"/>
                      <w:szCs w:val="24"/>
                      <w:highlight w:val="none"/>
                    </w:rPr>
                  </w:pPr>
                  <w:r>
                    <w:rPr>
                      <w:color w:val="auto"/>
                      <w:sz w:val="24"/>
                      <w:szCs w:val="24"/>
                      <w:highlight w:val="none"/>
                    </w:rPr>
                    <w:t>2</w:t>
                  </w:r>
                </w:p>
              </w:tc>
              <w:tc>
                <w:tcPr>
                  <w:tcW w:w="1640" w:type="dxa"/>
                  <w:tcBorders>
                    <w:top w:val="nil"/>
                    <w:left w:val="nil"/>
                    <w:bottom w:val="single" w:color="000000" w:sz="8" w:space="0"/>
                    <w:right w:val="single" w:color="000000" w:sz="8" w:space="0"/>
                  </w:tcBorders>
                  <w:vAlign w:val="center"/>
                </w:tcPr>
                <w:p w14:paraId="7648D2B9">
                  <w:pPr>
                    <w:spacing w:line="360" w:lineRule="auto"/>
                    <w:jc w:val="both"/>
                    <w:rPr>
                      <w:color w:val="auto"/>
                      <w:sz w:val="24"/>
                      <w:szCs w:val="24"/>
                      <w:highlight w:val="none"/>
                    </w:rPr>
                  </w:pPr>
                  <w:r>
                    <w:rPr>
                      <w:color w:val="auto"/>
                      <w:sz w:val="24"/>
                      <w:szCs w:val="24"/>
                      <w:highlight w:val="none"/>
                    </w:rPr>
                    <w:t>道路清扫车（3t~8t）</w:t>
                  </w:r>
                </w:p>
              </w:tc>
              <w:tc>
                <w:tcPr>
                  <w:tcW w:w="3278" w:type="dxa"/>
                  <w:tcBorders>
                    <w:top w:val="nil"/>
                    <w:left w:val="nil"/>
                    <w:bottom w:val="single" w:color="000000" w:sz="8" w:space="0"/>
                    <w:right w:val="single" w:color="000000" w:sz="8" w:space="0"/>
                  </w:tcBorders>
                  <w:vAlign w:val="center"/>
                </w:tcPr>
                <w:p w14:paraId="3CA2BFAD">
                  <w:pPr>
                    <w:spacing w:line="360" w:lineRule="auto"/>
                    <w:jc w:val="both"/>
                    <w:rPr>
                      <w:color w:val="auto"/>
                      <w:sz w:val="24"/>
                      <w:szCs w:val="24"/>
                      <w:highlight w:val="none"/>
                    </w:rPr>
                  </w:pPr>
                  <w:r>
                    <w:rPr>
                      <w:color w:val="auto"/>
                      <w:sz w:val="24"/>
                      <w:szCs w:val="24"/>
                      <w:highlight w:val="none"/>
                    </w:rPr>
                    <w:t>不少于</w:t>
                  </w:r>
                  <w:r>
                    <w:rPr>
                      <w:rFonts w:hint="eastAsia"/>
                      <w:color w:val="auto"/>
                      <w:sz w:val="24"/>
                      <w:szCs w:val="24"/>
                      <w:highlight w:val="none"/>
                      <w:lang w:val="en-US" w:eastAsia="zh-CN"/>
                    </w:rPr>
                    <w:t>6</w:t>
                  </w:r>
                  <w:r>
                    <w:rPr>
                      <w:color w:val="auto"/>
                      <w:sz w:val="24"/>
                      <w:szCs w:val="24"/>
                      <w:highlight w:val="none"/>
                    </w:rPr>
                    <w:t>辆</w:t>
                  </w:r>
                </w:p>
              </w:tc>
              <w:tc>
                <w:tcPr>
                  <w:tcW w:w="1964" w:type="dxa"/>
                  <w:tcBorders>
                    <w:top w:val="nil"/>
                    <w:left w:val="nil"/>
                    <w:bottom w:val="single" w:color="000000" w:sz="8" w:space="0"/>
                    <w:right w:val="single" w:color="000000" w:sz="8" w:space="0"/>
                  </w:tcBorders>
                  <w:vAlign w:val="center"/>
                </w:tcPr>
                <w:p w14:paraId="009CF790">
                  <w:pPr>
                    <w:spacing w:line="360" w:lineRule="auto"/>
                    <w:jc w:val="both"/>
                    <w:rPr>
                      <w:color w:val="auto"/>
                      <w:sz w:val="24"/>
                      <w:szCs w:val="24"/>
                      <w:highlight w:val="none"/>
                    </w:rPr>
                  </w:pPr>
                  <w:r>
                    <w:rPr>
                      <w:color w:val="auto"/>
                      <w:sz w:val="24"/>
                      <w:szCs w:val="24"/>
                      <w:highlight w:val="none"/>
                    </w:rPr>
                    <w:t>总质量</w:t>
                  </w:r>
                </w:p>
              </w:tc>
            </w:tr>
            <w:tr w14:paraId="722D34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8" w:space="0"/>
                    <w:bottom w:val="single" w:color="000000" w:sz="8" w:space="0"/>
                    <w:right w:val="single" w:color="000000" w:sz="8" w:space="0"/>
                  </w:tcBorders>
                  <w:vAlign w:val="center"/>
                </w:tcPr>
                <w:p w14:paraId="185A3709">
                  <w:pPr>
                    <w:spacing w:line="360" w:lineRule="auto"/>
                    <w:jc w:val="both"/>
                    <w:rPr>
                      <w:color w:val="auto"/>
                      <w:sz w:val="24"/>
                      <w:szCs w:val="24"/>
                      <w:highlight w:val="none"/>
                    </w:rPr>
                  </w:pPr>
                  <w:r>
                    <w:rPr>
                      <w:color w:val="auto"/>
                      <w:sz w:val="24"/>
                      <w:szCs w:val="24"/>
                      <w:highlight w:val="none"/>
                    </w:rPr>
                    <w:t>3</w:t>
                  </w:r>
                </w:p>
              </w:tc>
              <w:tc>
                <w:tcPr>
                  <w:tcW w:w="1640" w:type="dxa"/>
                  <w:tcBorders>
                    <w:top w:val="nil"/>
                    <w:left w:val="nil"/>
                    <w:bottom w:val="single" w:color="000000" w:sz="8" w:space="0"/>
                    <w:right w:val="single" w:color="000000" w:sz="8" w:space="0"/>
                  </w:tcBorders>
                  <w:vAlign w:val="center"/>
                </w:tcPr>
                <w:p w14:paraId="17293EE2">
                  <w:pPr>
                    <w:spacing w:line="360" w:lineRule="auto"/>
                    <w:jc w:val="both"/>
                    <w:rPr>
                      <w:color w:val="auto"/>
                      <w:sz w:val="24"/>
                      <w:szCs w:val="24"/>
                      <w:highlight w:val="none"/>
                    </w:rPr>
                  </w:pPr>
                  <w:r>
                    <w:rPr>
                      <w:color w:val="auto"/>
                      <w:sz w:val="24"/>
                      <w:szCs w:val="24"/>
                      <w:highlight w:val="none"/>
                    </w:rPr>
                    <w:t>中小型铲车</w:t>
                  </w:r>
                </w:p>
              </w:tc>
              <w:tc>
                <w:tcPr>
                  <w:tcW w:w="3278" w:type="dxa"/>
                  <w:tcBorders>
                    <w:top w:val="nil"/>
                    <w:left w:val="nil"/>
                    <w:bottom w:val="single" w:color="000000" w:sz="8" w:space="0"/>
                    <w:right w:val="single" w:color="000000" w:sz="8" w:space="0"/>
                  </w:tcBorders>
                  <w:vAlign w:val="center"/>
                </w:tcPr>
                <w:p w14:paraId="7B563925">
                  <w:pPr>
                    <w:spacing w:line="360" w:lineRule="auto"/>
                    <w:jc w:val="both"/>
                    <w:rPr>
                      <w:color w:val="auto"/>
                      <w:sz w:val="24"/>
                      <w:szCs w:val="24"/>
                      <w:highlight w:val="none"/>
                    </w:rPr>
                  </w:pPr>
                  <w:r>
                    <w:rPr>
                      <w:color w:val="auto"/>
                      <w:sz w:val="24"/>
                      <w:szCs w:val="24"/>
                      <w:highlight w:val="none"/>
                    </w:rPr>
                    <w:t>不少于1辆</w:t>
                  </w:r>
                </w:p>
              </w:tc>
              <w:tc>
                <w:tcPr>
                  <w:tcW w:w="1964" w:type="dxa"/>
                  <w:tcBorders>
                    <w:top w:val="nil"/>
                    <w:left w:val="nil"/>
                    <w:bottom w:val="single" w:color="000000" w:sz="8" w:space="0"/>
                    <w:right w:val="single" w:color="000000" w:sz="8" w:space="0"/>
                  </w:tcBorders>
                  <w:vAlign w:val="center"/>
                </w:tcPr>
                <w:p w14:paraId="6B2D8FBA">
                  <w:pPr>
                    <w:spacing w:line="360" w:lineRule="auto"/>
                    <w:jc w:val="both"/>
                    <w:rPr>
                      <w:color w:val="auto"/>
                      <w:sz w:val="24"/>
                      <w:szCs w:val="24"/>
                      <w:highlight w:val="none"/>
                    </w:rPr>
                  </w:pPr>
                  <w:r>
                    <w:rPr>
                      <w:color w:val="auto"/>
                      <w:sz w:val="24"/>
                      <w:szCs w:val="24"/>
                      <w:highlight w:val="none"/>
                    </w:rPr>
                    <w:t>总质量</w:t>
                  </w:r>
                </w:p>
              </w:tc>
            </w:tr>
            <w:tr w14:paraId="3E2E60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8" w:space="0"/>
                    <w:bottom w:val="single" w:color="000000" w:sz="8" w:space="0"/>
                    <w:right w:val="single" w:color="000000" w:sz="8" w:space="0"/>
                  </w:tcBorders>
                  <w:vAlign w:val="center"/>
                </w:tcPr>
                <w:p w14:paraId="6BEF5A2D">
                  <w:pPr>
                    <w:spacing w:line="360" w:lineRule="auto"/>
                    <w:jc w:val="both"/>
                    <w:rPr>
                      <w:color w:val="auto"/>
                      <w:sz w:val="24"/>
                      <w:szCs w:val="24"/>
                      <w:highlight w:val="none"/>
                    </w:rPr>
                  </w:pPr>
                  <w:r>
                    <w:rPr>
                      <w:color w:val="auto"/>
                      <w:sz w:val="24"/>
                      <w:szCs w:val="24"/>
                      <w:highlight w:val="none"/>
                    </w:rPr>
                    <w:t>4</w:t>
                  </w:r>
                </w:p>
              </w:tc>
              <w:tc>
                <w:tcPr>
                  <w:tcW w:w="1640" w:type="dxa"/>
                  <w:tcBorders>
                    <w:top w:val="nil"/>
                    <w:left w:val="nil"/>
                    <w:bottom w:val="single" w:color="000000" w:sz="8" w:space="0"/>
                    <w:right w:val="single" w:color="000000" w:sz="8" w:space="0"/>
                  </w:tcBorders>
                  <w:vAlign w:val="center"/>
                </w:tcPr>
                <w:p w14:paraId="6F776CAF">
                  <w:pPr>
                    <w:spacing w:line="360" w:lineRule="auto"/>
                    <w:jc w:val="both"/>
                    <w:rPr>
                      <w:color w:val="auto"/>
                      <w:sz w:val="24"/>
                      <w:szCs w:val="24"/>
                      <w:highlight w:val="none"/>
                    </w:rPr>
                  </w:pPr>
                  <w:r>
                    <w:rPr>
                      <w:color w:val="auto"/>
                      <w:sz w:val="24"/>
                      <w:szCs w:val="24"/>
                      <w:highlight w:val="none"/>
                    </w:rPr>
                    <w:t>护栏清洗车</w:t>
                  </w:r>
                </w:p>
              </w:tc>
              <w:tc>
                <w:tcPr>
                  <w:tcW w:w="3278" w:type="dxa"/>
                  <w:tcBorders>
                    <w:top w:val="nil"/>
                    <w:left w:val="nil"/>
                    <w:bottom w:val="single" w:color="000000" w:sz="8" w:space="0"/>
                    <w:right w:val="single" w:color="000000" w:sz="8" w:space="0"/>
                  </w:tcBorders>
                  <w:vAlign w:val="center"/>
                </w:tcPr>
                <w:p w14:paraId="43860A09">
                  <w:pPr>
                    <w:spacing w:line="360" w:lineRule="auto"/>
                    <w:jc w:val="both"/>
                    <w:rPr>
                      <w:color w:val="auto"/>
                      <w:sz w:val="24"/>
                      <w:szCs w:val="24"/>
                      <w:highlight w:val="none"/>
                    </w:rPr>
                  </w:pPr>
                  <w:r>
                    <w:rPr>
                      <w:color w:val="auto"/>
                      <w:sz w:val="24"/>
                      <w:szCs w:val="24"/>
                      <w:highlight w:val="none"/>
                    </w:rPr>
                    <w:t>不少于2辆</w:t>
                  </w:r>
                </w:p>
              </w:tc>
              <w:tc>
                <w:tcPr>
                  <w:tcW w:w="1964" w:type="dxa"/>
                  <w:tcBorders>
                    <w:top w:val="nil"/>
                    <w:left w:val="nil"/>
                    <w:bottom w:val="single" w:color="000000" w:sz="8" w:space="0"/>
                    <w:right w:val="single" w:color="000000" w:sz="8" w:space="0"/>
                  </w:tcBorders>
                  <w:vAlign w:val="center"/>
                </w:tcPr>
                <w:p w14:paraId="357CAFDA">
                  <w:pPr>
                    <w:spacing w:line="360" w:lineRule="auto"/>
                    <w:jc w:val="both"/>
                    <w:rPr>
                      <w:color w:val="auto"/>
                      <w:sz w:val="24"/>
                      <w:szCs w:val="24"/>
                      <w:highlight w:val="none"/>
                    </w:rPr>
                  </w:pPr>
                  <w:r>
                    <w:rPr>
                      <w:color w:val="auto"/>
                      <w:sz w:val="24"/>
                      <w:szCs w:val="24"/>
                      <w:highlight w:val="none"/>
                    </w:rPr>
                    <w:t>总质量</w:t>
                  </w:r>
                </w:p>
              </w:tc>
            </w:tr>
            <w:tr w14:paraId="5CEB3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4" w:type="dxa"/>
                  <w:tcBorders>
                    <w:top w:val="nil"/>
                    <w:left w:val="single" w:color="000000" w:sz="8" w:space="0"/>
                    <w:bottom w:val="single" w:color="000000" w:sz="8" w:space="0"/>
                    <w:right w:val="single" w:color="000000" w:sz="8" w:space="0"/>
                  </w:tcBorders>
                  <w:vAlign w:val="center"/>
                </w:tcPr>
                <w:p w14:paraId="323943EF">
                  <w:pPr>
                    <w:spacing w:line="360" w:lineRule="auto"/>
                    <w:jc w:val="both"/>
                    <w:rPr>
                      <w:color w:val="auto"/>
                      <w:sz w:val="24"/>
                      <w:szCs w:val="24"/>
                      <w:highlight w:val="none"/>
                    </w:rPr>
                  </w:pPr>
                  <w:r>
                    <w:rPr>
                      <w:color w:val="auto"/>
                      <w:sz w:val="24"/>
                      <w:szCs w:val="24"/>
                      <w:highlight w:val="none"/>
                    </w:rPr>
                    <w:t>5</w:t>
                  </w:r>
                </w:p>
              </w:tc>
              <w:tc>
                <w:tcPr>
                  <w:tcW w:w="1640" w:type="dxa"/>
                  <w:tcBorders>
                    <w:top w:val="nil"/>
                    <w:left w:val="nil"/>
                    <w:bottom w:val="single" w:color="000000" w:sz="8" w:space="0"/>
                    <w:right w:val="single" w:color="000000" w:sz="8" w:space="0"/>
                  </w:tcBorders>
                  <w:vAlign w:val="center"/>
                </w:tcPr>
                <w:p w14:paraId="4C20BF68">
                  <w:pPr>
                    <w:spacing w:line="360" w:lineRule="auto"/>
                    <w:jc w:val="both"/>
                    <w:rPr>
                      <w:color w:val="auto"/>
                      <w:sz w:val="24"/>
                      <w:szCs w:val="24"/>
                      <w:highlight w:val="none"/>
                    </w:rPr>
                  </w:pPr>
                  <w:r>
                    <w:rPr>
                      <w:color w:val="auto"/>
                      <w:sz w:val="24"/>
                      <w:szCs w:val="24"/>
                      <w:highlight w:val="none"/>
                    </w:rPr>
                    <w:t>各种小型机械扫路车、喷水降尘车辆</w:t>
                  </w:r>
                </w:p>
              </w:tc>
              <w:tc>
                <w:tcPr>
                  <w:tcW w:w="3278" w:type="dxa"/>
                  <w:tcBorders>
                    <w:top w:val="nil"/>
                    <w:left w:val="nil"/>
                    <w:bottom w:val="single" w:color="000000" w:sz="8" w:space="0"/>
                    <w:right w:val="single" w:color="000000" w:sz="8" w:space="0"/>
                  </w:tcBorders>
                  <w:vAlign w:val="center"/>
                </w:tcPr>
                <w:p w14:paraId="7512792B">
                  <w:pPr>
                    <w:spacing w:line="360" w:lineRule="auto"/>
                    <w:jc w:val="both"/>
                    <w:rPr>
                      <w:color w:val="auto"/>
                      <w:sz w:val="24"/>
                      <w:szCs w:val="24"/>
                      <w:highlight w:val="none"/>
                    </w:rPr>
                  </w:pPr>
                  <w:r>
                    <w:rPr>
                      <w:color w:val="auto"/>
                      <w:sz w:val="24"/>
                      <w:szCs w:val="24"/>
                      <w:highlight w:val="none"/>
                    </w:rPr>
                    <w:t>满足实际工作要求但不得少于</w:t>
                  </w:r>
                  <w:r>
                    <w:rPr>
                      <w:rFonts w:hint="eastAsia"/>
                      <w:color w:val="auto"/>
                      <w:sz w:val="24"/>
                      <w:szCs w:val="24"/>
                      <w:highlight w:val="none"/>
                      <w:lang w:val="en-US" w:eastAsia="zh-CN"/>
                    </w:rPr>
                    <w:t>4</w:t>
                  </w:r>
                  <w:r>
                    <w:rPr>
                      <w:color w:val="auto"/>
                      <w:sz w:val="24"/>
                      <w:szCs w:val="24"/>
                      <w:highlight w:val="none"/>
                    </w:rPr>
                    <w:t>辆</w:t>
                  </w:r>
                </w:p>
              </w:tc>
              <w:tc>
                <w:tcPr>
                  <w:tcW w:w="1964" w:type="dxa"/>
                  <w:tcBorders>
                    <w:top w:val="nil"/>
                    <w:left w:val="nil"/>
                    <w:bottom w:val="single" w:color="000000" w:sz="8" w:space="0"/>
                    <w:right w:val="single" w:color="000000" w:sz="8" w:space="0"/>
                  </w:tcBorders>
                  <w:vAlign w:val="center"/>
                </w:tcPr>
                <w:p w14:paraId="3C998ED7">
                  <w:pPr>
                    <w:spacing w:line="360" w:lineRule="auto"/>
                    <w:jc w:val="both"/>
                    <w:rPr>
                      <w:color w:val="auto"/>
                      <w:sz w:val="24"/>
                      <w:szCs w:val="24"/>
                      <w:highlight w:val="none"/>
                    </w:rPr>
                  </w:pPr>
                  <w:r>
                    <w:rPr>
                      <w:color w:val="auto"/>
                      <w:sz w:val="24"/>
                      <w:szCs w:val="24"/>
                      <w:highlight w:val="none"/>
                    </w:rPr>
                    <w:t>总质量</w:t>
                  </w:r>
                </w:p>
              </w:tc>
            </w:tr>
          </w:tbl>
          <w:p w14:paraId="597E68AF">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中标人在按上表比例配备运输车辆时，但应满足机动车辆不少于5辆。必须使用符合环卫作业要求的垃圾手推车、电瓶车、环卫清扫保洁车等设备，车辆不得乱停乱放。</w:t>
            </w:r>
          </w:p>
          <w:p w14:paraId="664B7C00">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收集和清扫保洁车辆设备以及收集垃圾手推车、电瓶车要保持外观整洁完好，密闭，无破损、锈迹，定期检修刷漆翻新，同时按要求统一印刷标志，并且装运过程中不得满溢、洒漏，机动车辆和机械设备作业时应尽量避开上下班高峰期，并开启警示灯，严格遵守交通规则。</w:t>
            </w:r>
          </w:p>
          <w:p w14:paraId="05F0D981">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垃圾运输车辆作业要求：</w:t>
            </w:r>
          </w:p>
          <w:p w14:paraId="314B04E7">
            <w:pPr>
              <w:spacing w:line="360" w:lineRule="auto"/>
              <w:ind w:firstLine="240" w:firstLineChars="100"/>
              <w:jc w:val="left"/>
              <w:rPr>
                <w:color w:val="auto"/>
                <w:sz w:val="24"/>
                <w:szCs w:val="24"/>
                <w:highlight w:val="none"/>
              </w:rPr>
            </w:pPr>
            <w:r>
              <w:rPr>
                <w:color w:val="auto"/>
                <w:sz w:val="24"/>
                <w:szCs w:val="24"/>
                <w:highlight w:val="none"/>
              </w:rPr>
              <w:t>5.1</w:t>
            </w:r>
            <w:r>
              <w:rPr>
                <w:rFonts w:hint="eastAsia"/>
                <w:color w:val="auto"/>
                <w:sz w:val="24"/>
                <w:szCs w:val="24"/>
                <w:highlight w:val="none"/>
                <w:lang w:val="en-US" w:eastAsia="zh-CN"/>
              </w:rPr>
              <w:t xml:space="preserve"> </w:t>
            </w:r>
            <w:r>
              <w:rPr>
                <w:color w:val="auto"/>
                <w:sz w:val="24"/>
                <w:szCs w:val="24"/>
                <w:highlight w:val="none"/>
              </w:rPr>
              <w:t>车辆作业，按交通规则和作业路线行驶，文明礼让，严格遵守交通规则，安全驾驶。</w:t>
            </w:r>
          </w:p>
          <w:p w14:paraId="67D31350">
            <w:pPr>
              <w:spacing w:line="360" w:lineRule="auto"/>
              <w:ind w:firstLine="240" w:firstLineChars="100"/>
              <w:jc w:val="left"/>
              <w:rPr>
                <w:color w:val="auto"/>
                <w:sz w:val="24"/>
                <w:szCs w:val="24"/>
                <w:highlight w:val="none"/>
              </w:rPr>
            </w:pPr>
            <w:r>
              <w:rPr>
                <w:color w:val="auto"/>
                <w:sz w:val="24"/>
                <w:szCs w:val="24"/>
                <w:highlight w:val="none"/>
              </w:rPr>
              <w:t>5.2</w:t>
            </w:r>
            <w:r>
              <w:rPr>
                <w:rFonts w:hint="eastAsia"/>
                <w:color w:val="auto"/>
                <w:sz w:val="24"/>
                <w:szCs w:val="24"/>
                <w:highlight w:val="none"/>
                <w:lang w:val="en-US" w:eastAsia="zh-CN"/>
              </w:rPr>
              <w:t xml:space="preserve"> </w:t>
            </w:r>
            <w:r>
              <w:rPr>
                <w:color w:val="auto"/>
                <w:sz w:val="24"/>
                <w:szCs w:val="24"/>
                <w:highlight w:val="none"/>
              </w:rPr>
              <w:t>生活垃圾运输车辆从起点至环保处理中心卸垃圾平台过程中，要密闭运输，做到无垃圾散落、飘挂，无垃圾污水洒漏，无沿路乱倒垃圾。</w:t>
            </w:r>
          </w:p>
          <w:p w14:paraId="58A6708D">
            <w:pPr>
              <w:spacing w:line="360" w:lineRule="auto"/>
              <w:ind w:firstLine="240" w:firstLineChars="100"/>
              <w:jc w:val="left"/>
              <w:rPr>
                <w:color w:val="auto"/>
                <w:sz w:val="24"/>
                <w:szCs w:val="24"/>
                <w:highlight w:val="none"/>
              </w:rPr>
            </w:pPr>
            <w:r>
              <w:rPr>
                <w:color w:val="auto"/>
                <w:sz w:val="24"/>
                <w:szCs w:val="24"/>
                <w:highlight w:val="none"/>
              </w:rPr>
              <w:t>5.3</w:t>
            </w:r>
            <w:r>
              <w:rPr>
                <w:rFonts w:hint="eastAsia"/>
                <w:color w:val="auto"/>
                <w:sz w:val="24"/>
                <w:szCs w:val="24"/>
                <w:highlight w:val="none"/>
                <w:lang w:val="en-US" w:eastAsia="zh-CN"/>
              </w:rPr>
              <w:t xml:space="preserve"> </w:t>
            </w:r>
            <w:r>
              <w:rPr>
                <w:color w:val="auto"/>
                <w:sz w:val="24"/>
                <w:szCs w:val="24"/>
                <w:highlight w:val="none"/>
              </w:rPr>
              <w:t>车容车貌完好美观、干净整洁、标识规范。</w:t>
            </w:r>
          </w:p>
          <w:p w14:paraId="01B5BAAF">
            <w:pPr>
              <w:spacing w:line="360" w:lineRule="auto"/>
              <w:ind w:firstLine="240" w:firstLineChars="100"/>
              <w:jc w:val="left"/>
              <w:rPr>
                <w:color w:val="auto"/>
                <w:sz w:val="24"/>
                <w:szCs w:val="24"/>
                <w:highlight w:val="none"/>
              </w:rPr>
            </w:pPr>
            <w:r>
              <w:rPr>
                <w:color w:val="auto"/>
                <w:sz w:val="24"/>
                <w:szCs w:val="24"/>
                <w:highlight w:val="none"/>
              </w:rPr>
              <w:t>5.4</w:t>
            </w:r>
            <w:r>
              <w:rPr>
                <w:rFonts w:hint="eastAsia"/>
                <w:color w:val="auto"/>
                <w:sz w:val="24"/>
                <w:szCs w:val="24"/>
                <w:highlight w:val="none"/>
                <w:lang w:val="en-US" w:eastAsia="zh-CN"/>
              </w:rPr>
              <w:t xml:space="preserve"> </w:t>
            </w:r>
            <w:r>
              <w:rPr>
                <w:color w:val="auto"/>
                <w:sz w:val="24"/>
                <w:szCs w:val="24"/>
                <w:highlight w:val="none"/>
              </w:rPr>
              <w:t>严格执行进磅计量，索取计量单，服从检查指挥。</w:t>
            </w:r>
          </w:p>
          <w:p w14:paraId="67FAA2E2">
            <w:pPr>
              <w:spacing w:line="360" w:lineRule="auto"/>
              <w:ind w:firstLine="240" w:firstLineChars="100"/>
              <w:jc w:val="left"/>
              <w:rPr>
                <w:color w:val="auto"/>
                <w:sz w:val="24"/>
                <w:szCs w:val="24"/>
                <w:highlight w:val="none"/>
              </w:rPr>
            </w:pPr>
            <w:r>
              <w:rPr>
                <w:color w:val="auto"/>
                <w:sz w:val="24"/>
                <w:szCs w:val="24"/>
                <w:highlight w:val="none"/>
              </w:rPr>
              <w:t>5.5</w:t>
            </w:r>
            <w:r>
              <w:rPr>
                <w:rFonts w:hint="eastAsia"/>
                <w:color w:val="auto"/>
                <w:sz w:val="24"/>
                <w:szCs w:val="24"/>
                <w:highlight w:val="none"/>
                <w:lang w:val="en-US" w:eastAsia="zh-CN"/>
              </w:rPr>
              <w:t xml:space="preserve"> </w:t>
            </w:r>
            <w:r>
              <w:rPr>
                <w:color w:val="auto"/>
                <w:sz w:val="24"/>
                <w:szCs w:val="24"/>
                <w:highlight w:val="none"/>
              </w:rPr>
              <w:t>在环保处理中心（倾倒区）卸垃圾时，垃圾运输车辆必须听从现场人员指挥，在卸垃圾平台卸完垃圾后，即予关闭复位</w:t>
            </w:r>
            <w:r>
              <w:rPr>
                <w:rFonts w:hint="eastAsia"/>
                <w:color w:val="auto"/>
                <w:sz w:val="24"/>
                <w:szCs w:val="24"/>
                <w:highlight w:val="none"/>
                <w:lang w:val="en-US" w:eastAsia="zh-CN"/>
              </w:rPr>
              <w:t>车</w:t>
            </w:r>
            <w:r>
              <w:rPr>
                <w:rFonts w:hint="eastAsia" w:cs="宋体"/>
                <w:color w:val="auto"/>
                <w:sz w:val="24"/>
                <w:szCs w:val="24"/>
                <w:highlight w:val="none"/>
                <w:lang w:val="en-US" w:eastAsia="zh-CN"/>
              </w:rPr>
              <w:t>箱</w:t>
            </w:r>
            <w:r>
              <w:rPr>
                <w:color w:val="auto"/>
                <w:sz w:val="24"/>
                <w:szCs w:val="24"/>
                <w:highlight w:val="none"/>
              </w:rPr>
              <w:t>，并把</w:t>
            </w:r>
            <w:r>
              <w:rPr>
                <w:rFonts w:hint="eastAsia"/>
                <w:color w:val="auto"/>
                <w:sz w:val="24"/>
                <w:szCs w:val="24"/>
                <w:highlight w:val="none"/>
                <w:lang w:val="en-US" w:eastAsia="zh-CN"/>
              </w:rPr>
              <w:t>车</w:t>
            </w:r>
            <w:r>
              <w:rPr>
                <w:rFonts w:hint="eastAsia" w:cs="宋体"/>
                <w:color w:val="auto"/>
                <w:sz w:val="24"/>
                <w:szCs w:val="24"/>
                <w:highlight w:val="none"/>
                <w:lang w:val="en-US" w:eastAsia="zh-CN"/>
              </w:rPr>
              <w:t>箱</w:t>
            </w:r>
            <w:r>
              <w:rPr>
                <w:color w:val="auto"/>
                <w:sz w:val="24"/>
                <w:szCs w:val="24"/>
                <w:highlight w:val="none"/>
              </w:rPr>
              <w:t>周边拖挂的垃圾清理干净方能离开卸垃圾平台。</w:t>
            </w:r>
          </w:p>
          <w:p w14:paraId="336EB5B4">
            <w:pPr>
              <w:spacing w:line="360" w:lineRule="auto"/>
              <w:ind w:firstLine="240" w:firstLineChars="100"/>
              <w:jc w:val="left"/>
              <w:rPr>
                <w:color w:val="auto"/>
                <w:sz w:val="24"/>
                <w:szCs w:val="24"/>
                <w:highlight w:val="none"/>
              </w:rPr>
            </w:pPr>
            <w:r>
              <w:rPr>
                <w:color w:val="auto"/>
                <w:sz w:val="24"/>
                <w:szCs w:val="24"/>
                <w:highlight w:val="none"/>
              </w:rPr>
              <w:t>5.6</w:t>
            </w:r>
            <w:r>
              <w:rPr>
                <w:rFonts w:hint="eastAsia"/>
                <w:color w:val="auto"/>
                <w:sz w:val="24"/>
                <w:szCs w:val="24"/>
                <w:highlight w:val="none"/>
                <w:lang w:val="en-US" w:eastAsia="zh-CN"/>
              </w:rPr>
              <w:t xml:space="preserve"> </w:t>
            </w:r>
            <w:r>
              <w:rPr>
                <w:color w:val="auto"/>
                <w:sz w:val="24"/>
                <w:szCs w:val="24"/>
                <w:highlight w:val="none"/>
              </w:rPr>
              <w:t>生活垃圾运输车辆离开环保处理中心（倾倒区）后必须依次减速通过车轮清洗平台，使车辆车轮自动清洗干净，同时再次检查确认车辆完全密闭后再上路。</w:t>
            </w:r>
          </w:p>
          <w:p w14:paraId="6D70EB36">
            <w:pPr>
              <w:spacing w:line="360" w:lineRule="auto"/>
              <w:ind w:firstLine="240" w:firstLineChars="100"/>
              <w:jc w:val="left"/>
              <w:rPr>
                <w:color w:val="auto"/>
                <w:sz w:val="24"/>
                <w:szCs w:val="24"/>
                <w:highlight w:val="none"/>
              </w:rPr>
            </w:pPr>
            <w:r>
              <w:rPr>
                <w:color w:val="auto"/>
                <w:sz w:val="24"/>
                <w:szCs w:val="24"/>
                <w:highlight w:val="none"/>
              </w:rPr>
              <w:t>5.7</w:t>
            </w:r>
            <w:r>
              <w:rPr>
                <w:rFonts w:hint="eastAsia"/>
                <w:color w:val="auto"/>
                <w:sz w:val="24"/>
                <w:szCs w:val="24"/>
                <w:highlight w:val="none"/>
                <w:lang w:val="en-US" w:eastAsia="zh-CN"/>
              </w:rPr>
              <w:t xml:space="preserve"> </w:t>
            </w:r>
            <w:r>
              <w:rPr>
                <w:color w:val="auto"/>
                <w:sz w:val="24"/>
                <w:szCs w:val="24"/>
                <w:highlight w:val="none"/>
              </w:rPr>
              <w:t>除“四害”要达到国家卫生城市标准。</w:t>
            </w:r>
          </w:p>
          <w:p w14:paraId="2C5C83AF">
            <w:pPr>
              <w:spacing w:line="360" w:lineRule="auto"/>
              <w:ind w:firstLine="240" w:firstLineChars="100"/>
              <w:jc w:val="left"/>
              <w:rPr>
                <w:color w:val="auto"/>
                <w:sz w:val="24"/>
                <w:szCs w:val="24"/>
                <w:highlight w:val="none"/>
              </w:rPr>
            </w:pPr>
            <w:r>
              <w:rPr>
                <w:color w:val="auto"/>
                <w:sz w:val="24"/>
                <w:szCs w:val="24"/>
                <w:highlight w:val="none"/>
              </w:rPr>
              <w:t>5.8</w:t>
            </w:r>
            <w:r>
              <w:rPr>
                <w:rFonts w:hint="eastAsia"/>
                <w:color w:val="auto"/>
                <w:sz w:val="24"/>
                <w:szCs w:val="24"/>
                <w:highlight w:val="none"/>
                <w:lang w:val="en-US" w:eastAsia="zh-CN"/>
              </w:rPr>
              <w:t xml:space="preserve"> </w:t>
            </w:r>
            <w:r>
              <w:rPr>
                <w:color w:val="auto"/>
                <w:sz w:val="24"/>
                <w:szCs w:val="24"/>
                <w:highlight w:val="none"/>
              </w:rPr>
              <w:t>每天应对作业车辆进行清洗，即每次运载时必须清洗干净方可上路，遇重大活动，要增加清洗次数。</w:t>
            </w:r>
          </w:p>
          <w:p w14:paraId="1FF298E6">
            <w:pPr>
              <w:spacing w:line="360" w:lineRule="auto"/>
              <w:jc w:val="left"/>
              <w:rPr>
                <w:color w:val="auto"/>
                <w:sz w:val="24"/>
                <w:szCs w:val="24"/>
                <w:highlight w:val="none"/>
              </w:rPr>
            </w:pP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保洁、清扫以及垃圾装运等工作所需的三轮车、柴油车辆等机械设备、作业工具、劳保用品等中标人自行配置，但小型装载车辆不少于一台以上，于合同签订后带入场地使用，完成项目作业需求。</w:t>
            </w:r>
          </w:p>
          <w:p w14:paraId="41118F79">
            <w:pPr>
              <w:spacing w:line="360" w:lineRule="auto"/>
              <w:jc w:val="left"/>
              <w:rPr>
                <w:color w:val="auto"/>
                <w:sz w:val="24"/>
                <w:szCs w:val="24"/>
                <w:highlight w:val="none"/>
              </w:rPr>
            </w:pP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环卫设备设施处置办法</w:t>
            </w:r>
          </w:p>
          <w:p w14:paraId="3A7CF41D">
            <w:pPr>
              <w:spacing w:line="360" w:lineRule="auto"/>
              <w:ind w:firstLine="240" w:firstLineChars="100"/>
              <w:rPr>
                <w:color w:val="auto"/>
                <w:sz w:val="24"/>
                <w:szCs w:val="24"/>
                <w:highlight w:val="none"/>
              </w:rPr>
            </w:pPr>
            <w:r>
              <w:rPr>
                <w:rFonts w:hint="eastAsia"/>
                <w:color w:val="auto"/>
                <w:sz w:val="24"/>
                <w:szCs w:val="24"/>
                <w:highlight w:val="none"/>
                <w:lang w:val="en-US" w:eastAsia="zh-CN"/>
              </w:rPr>
              <w:t>7.1</w:t>
            </w:r>
            <w:r>
              <w:rPr>
                <w:color w:val="auto"/>
                <w:sz w:val="24"/>
                <w:szCs w:val="24"/>
                <w:highlight w:val="none"/>
              </w:rPr>
              <w:t>环卫目前管理压缩站场地生产车间无偿提供中标人使用。中标人不得擅自改变用途或改造结构。</w:t>
            </w:r>
          </w:p>
          <w:p w14:paraId="51FAB32A">
            <w:pPr>
              <w:spacing w:line="360" w:lineRule="auto"/>
              <w:ind w:firstLine="240" w:firstLineChars="100"/>
              <w:jc w:val="left"/>
              <w:rPr>
                <w:color w:val="auto"/>
                <w:sz w:val="24"/>
                <w:szCs w:val="24"/>
                <w:highlight w:val="none"/>
              </w:rPr>
            </w:pPr>
            <w:r>
              <w:rPr>
                <w:rFonts w:hint="eastAsia"/>
                <w:color w:val="auto"/>
                <w:sz w:val="24"/>
                <w:szCs w:val="24"/>
                <w:highlight w:val="none"/>
                <w:lang w:val="en-US" w:eastAsia="zh-CN"/>
              </w:rPr>
              <w:t>7.2</w:t>
            </w:r>
            <w:r>
              <w:rPr>
                <w:color w:val="auto"/>
                <w:sz w:val="24"/>
                <w:szCs w:val="24"/>
                <w:highlight w:val="none"/>
              </w:rPr>
              <w:t>压缩站设备不可自行拆除，保证站内基础设施正常运作</w:t>
            </w:r>
            <w:r>
              <w:rPr>
                <w:rFonts w:hint="eastAsia"/>
                <w:color w:val="auto"/>
                <w:sz w:val="24"/>
                <w:szCs w:val="24"/>
                <w:highlight w:val="none"/>
                <w:lang w:val="en-US" w:eastAsia="zh-CN"/>
              </w:rPr>
              <w:t>和</w:t>
            </w:r>
            <w:r>
              <w:rPr>
                <w:color w:val="auto"/>
                <w:sz w:val="24"/>
                <w:szCs w:val="24"/>
                <w:highlight w:val="none"/>
              </w:rPr>
              <w:t>满足生产需要，并与下一个中标人协商解决。</w:t>
            </w:r>
          </w:p>
        </w:tc>
      </w:tr>
      <w:tr w14:paraId="03416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13E41D90">
            <w:pPr>
              <w:spacing w:line="360" w:lineRule="auto"/>
              <w:rPr>
                <w:color w:val="auto"/>
                <w:sz w:val="24"/>
                <w:szCs w:val="24"/>
                <w:highlight w:val="none"/>
              </w:rPr>
            </w:pPr>
          </w:p>
        </w:tc>
        <w:tc>
          <w:tcPr>
            <w:tcW w:w="673" w:type="dxa"/>
          </w:tcPr>
          <w:p w14:paraId="2227C451">
            <w:pPr>
              <w:spacing w:line="360" w:lineRule="auto"/>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8</w:t>
            </w:r>
          </w:p>
        </w:tc>
        <w:tc>
          <w:tcPr>
            <w:tcW w:w="8109" w:type="dxa"/>
          </w:tcPr>
          <w:p w14:paraId="4B0407AA">
            <w:pPr>
              <w:pStyle w:val="25"/>
              <w:spacing w:line="360" w:lineRule="auto"/>
              <w:jc w:val="left"/>
              <w:rPr>
                <w:color w:val="auto"/>
                <w:sz w:val="24"/>
                <w:szCs w:val="24"/>
                <w:highlight w:val="none"/>
              </w:rPr>
            </w:pPr>
            <w:r>
              <w:rPr>
                <w:b/>
                <w:color w:val="auto"/>
                <w:sz w:val="24"/>
                <w:szCs w:val="24"/>
                <w:highlight w:val="none"/>
              </w:rPr>
              <w:t>环卫作业安全要求</w:t>
            </w:r>
          </w:p>
          <w:p w14:paraId="1AE83015">
            <w:pPr>
              <w:pStyle w:val="25"/>
              <w:spacing w:line="360" w:lineRule="auto"/>
              <w:jc w:val="left"/>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作业期间必须按规定穿着统一的环卫工作服、反光衣（带）等，工作服、反光衣（带）由中标人负责投入。把保洁车放置在过往车辆行驶方向前方20米以外，作为防护提示设施，随走随设。</w:t>
            </w:r>
          </w:p>
          <w:p w14:paraId="0CEC0647">
            <w:pPr>
              <w:pStyle w:val="25"/>
              <w:spacing w:line="360" w:lineRule="auto"/>
              <w:jc w:val="left"/>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中标人应建立健全安全生产管理制度，落实安全生产责任人，切实执行安全生产规程，服务期间出现的安全事故一概由中标人承担，与采购人无关。</w:t>
            </w:r>
          </w:p>
          <w:p w14:paraId="0FEC5DCA">
            <w:pPr>
              <w:pStyle w:val="25"/>
              <w:spacing w:line="360" w:lineRule="auto"/>
              <w:jc w:val="left"/>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道路作业应合理安排作业时间和方式；清扫机动车道、绿化带、分隔栏时要设置醒目的警示标志，同时做好安全防护工作；道路大面积污染需要集中清扫时，需联系相关行政主管部门的配合。</w:t>
            </w:r>
          </w:p>
          <w:p w14:paraId="47DCFF79">
            <w:pPr>
              <w:pStyle w:val="25"/>
              <w:spacing w:line="360" w:lineRule="auto"/>
              <w:jc w:val="left"/>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环卫作业车辆驾驶员必须持证上岗并遵守交通规则，礼让行车，注意行人的安全，不得违章停放，不得超限行车。</w:t>
            </w:r>
          </w:p>
          <w:p w14:paraId="116071BA">
            <w:pPr>
              <w:pStyle w:val="25"/>
              <w:spacing w:line="360" w:lineRule="auto"/>
              <w:jc w:val="left"/>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环卫工人上岗作业时，随时注意来往车辆，遇到车辆行驶速度过快和遇到大风、大雾天气时，不得强行通行和作业。严禁不顾个人安危强行捡拾快车道不安全地段上的漂浮物。</w:t>
            </w:r>
          </w:p>
          <w:p w14:paraId="68B158CB">
            <w:pPr>
              <w:spacing w:line="360" w:lineRule="auto"/>
              <w:jc w:val="left"/>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环卫工人上岗作业时，必须熟知安全知识和技能，做到熟记于心，问之即答。</w:t>
            </w:r>
          </w:p>
        </w:tc>
      </w:tr>
      <w:tr w14:paraId="7AE5E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B204283">
            <w:pPr>
              <w:spacing w:line="360" w:lineRule="auto"/>
              <w:rPr>
                <w:color w:val="auto"/>
                <w:sz w:val="24"/>
                <w:szCs w:val="24"/>
                <w:highlight w:val="none"/>
              </w:rPr>
            </w:pPr>
          </w:p>
        </w:tc>
        <w:tc>
          <w:tcPr>
            <w:tcW w:w="673" w:type="dxa"/>
          </w:tcPr>
          <w:p w14:paraId="6D1A0C7D">
            <w:pPr>
              <w:spacing w:line="360" w:lineRule="auto"/>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9</w:t>
            </w:r>
          </w:p>
        </w:tc>
        <w:tc>
          <w:tcPr>
            <w:tcW w:w="8109" w:type="dxa"/>
          </w:tcPr>
          <w:p w14:paraId="05331CF0">
            <w:pPr>
              <w:pStyle w:val="25"/>
              <w:spacing w:line="360" w:lineRule="auto"/>
              <w:jc w:val="both"/>
              <w:rPr>
                <w:color w:val="auto"/>
                <w:sz w:val="24"/>
                <w:szCs w:val="24"/>
                <w:highlight w:val="none"/>
              </w:rPr>
            </w:pPr>
            <w:r>
              <w:rPr>
                <w:b/>
                <w:color w:val="auto"/>
                <w:sz w:val="24"/>
                <w:szCs w:val="24"/>
                <w:highlight w:val="none"/>
              </w:rPr>
              <w:t>项目应急措施及机制</w:t>
            </w:r>
          </w:p>
          <w:p w14:paraId="66F5EA65">
            <w:pPr>
              <w:pStyle w:val="25"/>
              <w:spacing w:line="360" w:lineRule="auto"/>
              <w:jc w:val="both"/>
              <w:rPr>
                <w:color w:val="auto"/>
                <w:sz w:val="24"/>
                <w:szCs w:val="24"/>
                <w:highlight w:val="none"/>
              </w:rPr>
            </w:pPr>
            <w:r>
              <w:rPr>
                <w:color w:val="auto"/>
                <w:sz w:val="24"/>
                <w:szCs w:val="24"/>
                <w:highlight w:val="none"/>
              </w:rPr>
              <w:t>1、基本要求</w:t>
            </w:r>
          </w:p>
          <w:p w14:paraId="3ED06A99">
            <w:pPr>
              <w:pStyle w:val="25"/>
              <w:spacing w:line="360" w:lineRule="auto"/>
              <w:jc w:val="both"/>
              <w:rPr>
                <w:color w:val="auto"/>
                <w:sz w:val="24"/>
                <w:szCs w:val="24"/>
                <w:highlight w:val="none"/>
              </w:rPr>
            </w:pPr>
            <w:r>
              <w:rPr>
                <w:color w:val="auto"/>
                <w:sz w:val="24"/>
                <w:szCs w:val="24"/>
                <w:highlight w:val="none"/>
              </w:rPr>
              <w:t>运营期间，中标人在应急管理及危险作业管理方面须做到：</w:t>
            </w:r>
          </w:p>
          <w:p w14:paraId="2B35364A">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1.1 </w:t>
            </w:r>
            <w:r>
              <w:rPr>
                <w:color w:val="auto"/>
                <w:sz w:val="24"/>
                <w:szCs w:val="24"/>
                <w:highlight w:val="none"/>
              </w:rPr>
              <w:t>应建立健全突发事件应急处置制度，组建相应管理机构，制定应急预案及应急程序，落实专项费用、专职（或兼职）人员。</w:t>
            </w:r>
          </w:p>
          <w:p w14:paraId="41B48F11">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1.2</w:t>
            </w:r>
            <w:r>
              <w:rPr>
                <w:color w:val="auto"/>
                <w:sz w:val="24"/>
                <w:szCs w:val="24"/>
                <w:highlight w:val="none"/>
              </w:rPr>
              <w:t>应根据实际情况制定安全生产综合应急预案、专项预案及现场处置预案；如综合应急预案、环境专项预案、“三防”工作及现场处置方案等。</w:t>
            </w:r>
          </w:p>
          <w:p w14:paraId="61952FE1">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1.3</w:t>
            </w:r>
            <w:r>
              <w:rPr>
                <w:color w:val="auto"/>
                <w:sz w:val="24"/>
                <w:szCs w:val="24"/>
                <w:highlight w:val="none"/>
              </w:rPr>
              <w:t>应急预案需明确编制预案的目的、原则、编制依据和适用范围等，应建立应急组织机构并明确领导成员及应急救援组成员的职责、权利和义务的职责，提高各应急处置小组的应急处置能力，落实救援相关工作。</w:t>
            </w:r>
          </w:p>
          <w:p w14:paraId="326D9DB8">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1.4</w:t>
            </w:r>
            <w:r>
              <w:rPr>
                <w:color w:val="auto"/>
                <w:sz w:val="24"/>
                <w:szCs w:val="24"/>
                <w:highlight w:val="none"/>
              </w:rPr>
              <w:t>应根据实际特点制定各种应急技术措施，包括：触电、中毒、防汛、关键性生产设备紧急抢修、有毒有害气体泄漏、防火防爆、防自然灾害、防溺水和防高空坠落等应急措施。</w:t>
            </w:r>
          </w:p>
          <w:p w14:paraId="5750874F">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1.5</w:t>
            </w:r>
            <w:r>
              <w:rPr>
                <w:color w:val="auto"/>
                <w:sz w:val="24"/>
                <w:szCs w:val="24"/>
                <w:highlight w:val="none"/>
              </w:rPr>
              <w:t>应有应急装备物资保障、技术保障、安全防护保障和通信信息保障等。</w:t>
            </w:r>
          </w:p>
          <w:p w14:paraId="3F8DB05E">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1.6</w:t>
            </w:r>
            <w:r>
              <w:rPr>
                <w:color w:val="auto"/>
                <w:sz w:val="24"/>
                <w:szCs w:val="24"/>
                <w:highlight w:val="none"/>
              </w:rPr>
              <w:t>定期组织人员进行各项预案的演练工作，演练结束后对实施情况进行评估，撰写评估报告，分析存在的问题，并对应急预案提出修改意见。</w:t>
            </w:r>
          </w:p>
          <w:p w14:paraId="69704CEE">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1.7</w:t>
            </w:r>
            <w:r>
              <w:rPr>
                <w:color w:val="auto"/>
                <w:sz w:val="24"/>
                <w:szCs w:val="24"/>
                <w:highlight w:val="none"/>
              </w:rPr>
              <w:t>定期进行应急预案的演练。演练形式可以采取桌面演练、功能演练、全面演练等方式。</w:t>
            </w:r>
          </w:p>
          <w:p w14:paraId="245B608A">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1.8</w:t>
            </w:r>
            <w:r>
              <w:rPr>
                <w:color w:val="auto"/>
                <w:sz w:val="24"/>
                <w:szCs w:val="24"/>
                <w:highlight w:val="none"/>
              </w:rPr>
              <w:t>加强日常的安全管理工作，针对季节性、节假日、突发天气等特殊状况进行专项安全检查并做好相应的应急控制措施。</w:t>
            </w:r>
          </w:p>
          <w:p w14:paraId="72A85A01">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1.9</w:t>
            </w:r>
            <w:r>
              <w:rPr>
                <w:color w:val="auto"/>
                <w:sz w:val="24"/>
                <w:szCs w:val="24"/>
                <w:highlight w:val="none"/>
              </w:rPr>
              <w:t>落实领导带班管理制度，节假日及突发状况的值班制度。</w:t>
            </w:r>
          </w:p>
          <w:p w14:paraId="1A72C781">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1.10</w:t>
            </w:r>
            <w:r>
              <w:rPr>
                <w:color w:val="auto"/>
                <w:sz w:val="24"/>
                <w:szCs w:val="24"/>
                <w:highlight w:val="none"/>
              </w:rPr>
              <w:t>制定危险作业安全管理制度，加强有限空间作业管理、临时用电管理等。</w:t>
            </w:r>
          </w:p>
          <w:p w14:paraId="6BE2E923">
            <w:pPr>
              <w:pStyle w:val="25"/>
              <w:spacing w:line="360" w:lineRule="auto"/>
              <w:jc w:val="both"/>
              <w:rPr>
                <w:color w:val="auto"/>
                <w:sz w:val="24"/>
                <w:szCs w:val="24"/>
                <w:highlight w:val="none"/>
              </w:rPr>
            </w:pPr>
            <w:r>
              <w:rPr>
                <w:color w:val="auto"/>
                <w:sz w:val="24"/>
                <w:szCs w:val="24"/>
                <w:highlight w:val="none"/>
              </w:rPr>
              <w:t>2、具体要求</w:t>
            </w:r>
          </w:p>
          <w:p w14:paraId="1B111565">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2.1 </w:t>
            </w:r>
            <w:r>
              <w:rPr>
                <w:color w:val="auto"/>
                <w:sz w:val="24"/>
                <w:szCs w:val="24"/>
                <w:highlight w:val="none"/>
              </w:rPr>
              <w:t>遇有重大活动响应及时，能够有力保证作业人员、设备按时按需到位。</w:t>
            </w:r>
          </w:p>
          <w:p w14:paraId="3B357674">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2.2 </w:t>
            </w:r>
            <w:r>
              <w:rPr>
                <w:color w:val="auto"/>
                <w:sz w:val="24"/>
                <w:szCs w:val="24"/>
                <w:highlight w:val="none"/>
              </w:rPr>
              <w:t>环卫作业质量达到活动发生地所对应的各服务项目的相应质量标准。</w:t>
            </w:r>
          </w:p>
          <w:p w14:paraId="13BC1BED">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2.3</w:t>
            </w:r>
            <w:r>
              <w:rPr>
                <w:color w:val="auto"/>
                <w:sz w:val="24"/>
                <w:szCs w:val="24"/>
                <w:highlight w:val="none"/>
              </w:rPr>
              <w:t>遇有特殊情况需要适当提高环卫服务质量标准的，能够按需完成。</w:t>
            </w:r>
          </w:p>
          <w:p w14:paraId="689ABEC8">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2.4</w:t>
            </w:r>
            <w:r>
              <w:rPr>
                <w:color w:val="auto"/>
                <w:sz w:val="24"/>
                <w:szCs w:val="24"/>
                <w:highlight w:val="none"/>
              </w:rPr>
              <w:t>应采购人要求、因临时或应急原因，包括但不限于城区下水道口垃圾清理、应上级检查要求、台风洪水灾后处置等，无条件服从作业要求。</w:t>
            </w:r>
          </w:p>
          <w:p w14:paraId="33216A0D">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2.5</w:t>
            </w:r>
            <w:r>
              <w:rPr>
                <w:color w:val="auto"/>
                <w:sz w:val="24"/>
                <w:szCs w:val="24"/>
                <w:highlight w:val="none"/>
              </w:rPr>
              <w:t>台风、大风及暴雨应急作业要求</w:t>
            </w:r>
          </w:p>
          <w:p w14:paraId="4EA0C0DF">
            <w:pPr>
              <w:pStyle w:val="25"/>
              <w:spacing w:line="360" w:lineRule="auto"/>
              <w:jc w:val="both"/>
              <w:rPr>
                <w:color w:val="auto"/>
                <w:sz w:val="24"/>
                <w:szCs w:val="24"/>
                <w:highlight w:val="none"/>
              </w:rPr>
            </w:pPr>
            <w:r>
              <w:rPr>
                <w:color w:val="auto"/>
                <w:sz w:val="24"/>
                <w:szCs w:val="24"/>
                <w:highlight w:val="none"/>
              </w:rPr>
              <w:t>中标人应在台风季节来临前完成各种机械设备、车辆的维修维护工作，确保设备正常运行。提前做好极端天气后路段清理准备工作，并将设备、车辆进入待命状态，确保雨后准时到位。在极端天气过程中要同</w:t>
            </w:r>
            <w:r>
              <w:rPr>
                <w:rFonts w:hint="eastAsia"/>
                <w:color w:val="auto"/>
                <w:sz w:val="24"/>
                <w:szCs w:val="24"/>
                <w:highlight w:val="none"/>
                <w:lang w:val="en-US" w:eastAsia="zh-CN"/>
              </w:rPr>
              <w:t>采购人</w:t>
            </w:r>
            <w:r>
              <w:rPr>
                <w:color w:val="auto"/>
                <w:sz w:val="24"/>
                <w:szCs w:val="24"/>
                <w:highlight w:val="none"/>
              </w:rPr>
              <w:t>保持联系随时掌握天气动态，在降雨停止后1小时内组织工作人员到达管辖区内各主街道和重要路段进行环境卫生综合整治工作，在2小时内完成路面垃圾、淤泥清扫作业，确保道路顺畅，并在4小时内完成垃圾、淤泥清运工作。如不能及时清运，应在指定的转运点堆积，24小时内完成清运。夜间降雨时，应在次日早8时前完成主干道和重点地段清扫作业。</w:t>
            </w:r>
          </w:p>
          <w:p w14:paraId="7EEB6260">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2.6</w:t>
            </w:r>
            <w:r>
              <w:rPr>
                <w:color w:val="auto"/>
                <w:sz w:val="24"/>
                <w:szCs w:val="24"/>
                <w:highlight w:val="none"/>
              </w:rPr>
              <w:t>应对各种检查、创建、重大活动期间的应急作业要求。</w:t>
            </w:r>
          </w:p>
          <w:p w14:paraId="05089DE8">
            <w:pPr>
              <w:pStyle w:val="25"/>
              <w:spacing w:line="360" w:lineRule="auto"/>
              <w:ind w:firstLine="240" w:firstLineChars="100"/>
              <w:jc w:val="both"/>
              <w:rPr>
                <w:color w:val="auto"/>
                <w:sz w:val="24"/>
                <w:szCs w:val="24"/>
                <w:highlight w:val="none"/>
              </w:rPr>
            </w:pPr>
            <w:r>
              <w:rPr>
                <w:rFonts w:hint="default" w:ascii="Calibri" w:hAnsi="Calibri" w:cs="Calibri"/>
                <w:color w:val="auto"/>
                <w:sz w:val="24"/>
                <w:szCs w:val="24"/>
                <w:highlight w:val="none"/>
              </w:rPr>
              <w:t>①</w:t>
            </w:r>
            <w:r>
              <w:rPr>
                <w:color w:val="auto"/>
                <w:sz w:val="24"/>
                <w:szCs w:val="24"/>
                <w:highlight w:val="none"/>
              </w:rPr>
              <w:t>中标人须成立相关工作领导小组，以便有组织、有计划地配合迎接各种检查、创建、重大活动期间的检查工作。</w:t>
            </w:r>
          </w:p>
          <w:p w14:paraId="5A7F56AB">
            <w:pPr>
              <w:pStyle w:val="25"/>
              <w:spacing w:line="360" w:lineRule="auto"/>
              <w:ind w:firstLine="240" w:firstLineChars="100"/>
              <w:jc w:val="both"/>
              <w:rPr>
                <w:color w:val="auto"/>
                <w:sz w:val="24"/>
                <w:szCs w:val="24"/>
                <w:highlight w:val="none"/>
              </w:rPr>
            </w:pPr>
            <w:r>
              <w:rPr>
                <w:rFonts w:hint="default" w:ascii="Calibri" w:hAnsi="Calibri" w:cs="Calibri"/>
                <w:color w:val="auto"/>
                <w:sz w:val="24"/>
                <w:szCs w:val="24"/>
                <w:highlight w:val="none"/>
              </w:rPr>
              <w:t>②</w:t>
            </w:r>
            <w:r>
              <w:rPr>
                <w:color w:val="auto"/>
                <w:sz w:val="24"/>
                <w:szCs w:val="24"/>
                <w:highlight w:val="none"/>
              </w:rPr>
              <w:t>中标人须组建一支突击队伍随时待命，以便于各种检查、创建、重大活动时进行指挥和调配，确保万无一失地开展活动。</w:t>
            </w:r>
          </w:p>
          <w:p w14:paraId="174FE17B">
            <w:pPr>
              <w:pStyle w:val="25"/>
              <w:spacing w:line="360" w:lineRule="auto"/>
              <w:ind w:firstLine="240" w:firstLineChars="100"/>
              <w:jc w:val="both"/>
              <w:rPr>
                <w:color w:val="auto"/>
                <w:sz w:val="24"/>
                <w:szCs w:val="24"/>
                <w:highlight w:val="none"/>
              </w:rPr>
            </w:pPr>
            <w:r>
              <w:rPr>
                <w:rFonts w:hint="default" w:ascii="Calibri" w:hAnsi="Calibri" w:cs="Calibri"/>
                <w:color w:val="auto"/>
                <w:sz w:val="24"/>
                <w:szCs w:val="24"/>
                <w:highlight w:val="none"/>
              </w:rPr>
              <w:t>③</w:t>
            </w:r>
            <w:r>
              <w:rPr>
                <w:color w:val="auto"/>
                <w:sz w:val="24"/>
                <w:szCs w:val="24"/>
                <w:highlight w:val="none"/>
              </w:rPr>
              <w:t>中标人须配备足够的作业车辆及设备、人员，及时保质、保量地完成临时性、突发性任务。</w:t>
            </w:r>
          </w:p>
          <w:p w14:paraId="773A11B8">
            <w:pPr>
              <w:pStyle w:val="25"/>
              <w:spacing w:line="360" w:lineRule="auto"/>
              <w:ind w:firstLine="240" w:firstLineChars="100"/>
              <w:jc w:val="both"/>
              <w:rPr>
                <w:color w:val="auto"/>
                <w:sz w:val="24"/>
                <w:szCs w:val="24"/>
                <w:highlight w:val="none"/>
              </w:rPr>
            </w:pPr>
            <w:r>
              <w:rPr>
                <w:rFonts w:hint="eastAsia" w:ascii="黑体" w:hAnsi="黑体" w:eastAsia="黑体" w:cs="黑体"/>
                <w:color w:val="auto"/>
                <w:sz w:val="24"/>
                <w:szCs w:val="24"/>
                <w:highlight w:val="none"/>
              </w:rPr>
              <w:t>④</w:t>
            </w:r>
            <w:r>
              <w:rPr>
                <w:color w:val="auto"/>
                <w:sz w:val="24"/>
                <w:szCs w:val="24"/>
                <w:highlight w:val="none"/>
              </w:rPr>
              <w:t>相关人员在接到检查通知后，应立即向领导汇报，同时要求各岗位人员做好相应准备工作。</w:t>
            </w:r>
          </w:p>
          <w:p w14:paraId="10907F5C">
            <w:pPr>
              <w:pStyle w:val="25"/>
              <w:spacing w:line="360" w:lineRule="auto"/>
              <w:ind w:firstLine="240" w:firstLineChars="100"/>
              <w:jc w:val="both"/>
              <w:rPr>
                <w:color w:val="auto"/>
                <w:sz w:val="24"/>
                <w:szCs w:val="24"/>
                <w:highlight w:val="none"/>
              </w:rPr>
            </w:pPr>
            <w:r>
              <w:rPr>
                <w:rFonts w:hint="eastAsia" w:ascii="Calibri" w:hAnsi="Calibri" w:cs="Calibri"/>
                <w:color w:val="auto"/>
                <w:sz w:val="24"/>
                <w:szCs w:val="24"/>
                <w:highlight w:val="none"/>
              </w:rPr>
              <w:t>⑤</w:t>
            </w:r>
            <w:r>
              <w:rPr>
                <w:color w:val="auto"/>
                <w:sz w:val="24"/>
                <w:szCs w:val="24"/>
                <w:highlight w:val="none"/>
              </w:rPr>
              <w:t>中标人在获取准确信息后，应有组织、有计划安排人员、设备等工作。</w:t>
            </w:r>
          </w:p>
          <w:p w14:paraId="7F534081">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2.7</w:t>
            </w:r>
            <w:r>
              <w:rPr>
                <w:color w:val="auto"/>
                <w:sz w:val="24"/>
                <w:szCs w:val="24"/>
                <w:highlight w:val="none"/>
              </w:rPr>
              <w:t>应急任务涉及文明城市、卫生城市创建及复审等工作的，中标单位要无条件配合。</w:t>
            </w:r>
          </w:p>
          <w:p w14:paraId="33A77E96">
            <w:pPr>
              <w:pStyle w:val="25"/>
              <w:spacing w:line="360" w:lineRule="auto"/>
              <w:jc w:val="both"/>
              <w:rPr>
                <w:color w:val="auto"/>
                <w:sz w:val="24"/>
                <w:szCs w:val="24"/>
                <w:highlight w:val="none"/>
              </w:rPr>
            </w:pPr>
            <w:r>
              <w:rPr>
                <w:color w:val="auto"/>
                <w:sz w:val="24"/>
                <w:szCs w:val="24"/>
                <w:highlight w:val="none"/>
              </w:rPr>
              <w:t>3、 环卫应急作业</w:t>
            </w:r>
          </w:p>
          <w:p w14:paraId="6EF0531D">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3.1 </w:t>
            </w:r>
            <w:r>
              <w:rPr>
                <w:color w:val="auto"/>
                <w:sz w:val="24"/>
                <w:szCs w:val="24"/>
                <w:highlight w:val="none"/>
              </w:rPr>
              <w:t>中标人应为本项目建立健全的环卫应急作业机制，服务区域内突发性事件中的环卫清扫保洁工作，中标人要无条件服从采购人环卫应急工作安排，须30分钟内安排环卫机械和工人到现场依时清理完毕。</w:t>
            </w:r>
          </w:p>
          <w:p w14:paraId="6230C1BB">
            <w:pPr>
              <w:pStyle w:val="25"/>
              <w:spacing w:line="360" w:lineRule="auto"/>
              <w:ind w:firstLine="240" w:firstLineChars="100"/>
              <w:jc w:val="both"/>
              <w:rPr>
                <w:color w:val="auto"/>
                <w:sz w:val="24"/>
                <w:szCs w:val="24"/>
                <w:highlight w:val="none"/>
              </w:rPr>
            </w:pPr>
            <w:r>
              <w:rPr>
                <w:rFonts w:hint="eastAsia"/>
                <w:color w:val="auto"/>
                <w:sz w:val="24"/>
                <w:szCs w:val="24"/>
                <w:highlight w:val="none"/>
                <w:lang w:val="en-US" w:eastAsia="zh-CN"/>
              </w:rPr>
              <w:t xml:space="preserve">3.2 </w:t>
            </w:r>
            <w:r>
              <w:rPr>
                <w:color w:val="auto"/>
                <w:sz w:val="24"/>
                <w:szCs w:val="24"/>
                <w:highlight w:val="none"/>
              </w:rPr>
              <w:t>做好采购人布置的临时性、突发性事件、各项检查评比、调研线路保洁、“三重”活动（重大活动、重要节庆、重点时段）、不可抗力自然灾害（如台风、水灾、地震等）等市容环卫工作任务，在规定时间内清理完毕。</w:t>
            </w:r>
          </w:p>
          <w:p w14:paraId="7811C686">
            <w:pPr>
              <w:spacing w:line="360" w:lineRule="auto"/>
              <w:ind w:firstLine="240" w:firstLineChars="100"/>
              <w:jc w:val="left"/>
              <w:rPr>
                <w:color w:val="auto"/>
                <w:sz w:val="24"/>
                <w:szCs w:val="24"/>
                <w:highlight w:val="none"/>
              </w:rPr>
            </w:pPr>
            <w:r>
              <w:rPr>
                <w:rFonts w:hint="eastAsia"/>
                <w:color w:val="auto"/>
                <w:sz w:val="24"/>
                <w:szCs w:val="24"/>
                <w:highlight w:val="none"/>
                <w:lang w:val="en-US" w:eastAsia="zh-CN"/>
              </w:rPr>
              <w:t xml:space="preserve">3.3 </w:t>
            </w:r>
            <w:r>
              <w:rPr>
                <w:rFonts w:hint="eastAsia"/>
                <w:color w:val="auto"/>
                <w:sz w:val="24"/>
                <w:szCs w:val="24"/>
                <w:highlight w:val="none"/>
              </w:rPr>
              <w:t>如遇卫生突击需要或抢险救灾需要，或者上级机关工作部署调动要求，中标人有义务无条件且无偿组织人力物力支援，由此所产生的设备费、人员加班工资由中标人承担</w:t>
            </w:r>
            <w:r>
              <w:rPr>
                <w:color w:val="auto"/>
                <w:sz w:val="24"/>
                <w:szCs w:val="24"/>
                <w:highlight w:val="none"/>
              </w:rPr>
              <w:t>。</w:t>
            </w:r>
          </w:p>
        </w:tc>
      </w:tr>
      <w:tr w14:paraId="5262F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76A50E1B">
            <w:pPr>
              <w:spacing w:line="360" w:lineRule="auto"/>
              <w:rPr>
                <w:color w:val="auto"/>
                <w:sz w:val="24"/>
                <w:szCs w:val="24"/>
                <w:highlight w:val="none"/>
              </w:rPr>
            </w:pPr>
          </w:p>
        </w:tc>
        <w:tc>
          <w:tcPr>
            <w:tcW w:w="673" w:type="dxa"/>
          </w:tcPr>
          <w:p w14:paraId="3FDF8A0E">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10</w:t>
            </w:r>
          </w:p>
        </w:tc>
        <w:tc>
          <w:tcPr>
            <w:tcW w:w="8109" w:type="dxa"/>
          </w:tcPr>
          <w:p w14:paraId="52BE2B9D">
            <w:pPr>
              <w:spacing w:line="360" w:lineRule="auto"/>
              <w:jc w:val="left"/>
              <w:rPr>
                <w:color w:val="auto"/>
                <w:sz w:val="24"/>
                <w:szCs w:val="24"/>
                <w:highlight w:val="none"/>
              </w:rPr>
            </w:pPr>
            <w:r>
              <w:rPr>
                <w:b/>
                <w:color w:val="auto"/>
                <w:sz w:val="24"/>
                <w:szCs w:val="24"/>
                <w:highlight w:val="none"/>
              </w:rPr>
              <w:t>验收标准及考核评分标准</w:t>
            </w:r>
          </w:p>
          <w:p w14:paraId="681CF88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（一）由采购人制定普宁市市区环境卫生验评标准，对中标人作业情况进行定期或不定期检查考核，每月根据考核扣分额度核定当月服务费。</w:t>
            </w:r>
          </w:p>
          <w:p w14:paraId="18378B8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组织对本采购项目进行全覆盖检查考核，全年无休每天开展日常检查，检查时间必须覆盖各等级道路的规定保洁时段，全面掌握本采购项目规范执行情况和卫生质量状况，并且每月按一定比例抽查部分项目并对日常检查发现的部分问题进行复检。</w:t>
            </w:r>
          </w:p>
          <w:p w14:paraId="24AE43A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三）考核由日常检查和月度检查组成。</w:t>
            </w:r>
          </w:p>
          <w:p w14:paraId="69F9B11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1.日常检查</w:t>
            </w:r>
          </w:p>
          <w:p w14:paraId="23E99AA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安排。此项由环卫中心相关股室、环卫所、市容一队、市容二队组织安排。日常检查发现卫生问题立即责成中标人进行整改，并依据《普宁市市区环境卫生验评标准》（见公告附件）进行扣分，按每分300元扣除服务费。各街道可安排街道办、村、居、社区人员参与巡查</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扣分。</w:t>
            </w:r>
          </w:p>
          <w:p w14:paraId="31F0BBB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检查要求。现场检查采取车行与步行相结合，对被检项目进行全覆盖检查。对检查中发现的问题，通知中标人管理人员赴现场确认并处理（20分钟内该区域中标人管理人员无到现场，视为默认处理）。将现场检查获取的相关影像资料保存2个月，以便中标人对以往检查记录和影像资料进行查询。</w:t>
            </w:r>
          </w:p>
          <w:p w14:paraId="17E3A6D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2.月度检查</w:t>
            </w:r>
          </w:p>
          <w:p w14:paraId="782FFE8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检查安排。此项由环卫中心组织安排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属地街道共同参与</w:t>
            </w:r>
            <w:r>
              <w:rPr>
                <w:rFonts w:hint="eastAsia" w:ascii="宋体" w:hAnsi="宋体" w:eastAsia="宋体" w:cs="宋体"/>
                <w:color w:val="auto"/>
                <w:sz w:val="24"/>
                <w:szCs w:val="24"/>
                <w:highlight w:val="none"/>
              </w:rPr>
              <w:t>。适时邀请有关人大代表、政协委员和新闻媒体</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参加，按一定比例（不低于标段面积的10%）进行全面检查。</w:t>
            </w:r>
          </w:p>
          <w:p w14:paraId="20F3D84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分数构成。</w:t>
            </w:r>
            <w:r>
              <w:rPr>
                <w:rFonts w:hint="eastAsia" w:ascii="宋体" w:hAnsi="宋体" w:eastAsia="宋体" w:cs="宋体"/>
                <w:color w:val="auto"/>
                <w:sz w:val="24"/>
                <w:szCs w:val="24"/>
                <w:highlight w:val="none"/>
                <w:lang w:val="en-US" w:eastAsia="zh-CN"/>
              </w:rPr>
              <w:t>西</w:t>
            </w:r>
            <w:r>
              <w:rPr>
                <w:rFonts w:hint="eastAsia" w:ascii="宋体" w:hAnsi="宋体" w:eastAsia="宋体" w:cs="宋体"/>
                <w:color w:val="auto"/>
                <w:sz w:val="24"/>
                <w:szCs w:val="24"/>
                <w:highlight w:val="none"/>
              </w:rPr>
              <w:t>片区区域由城</w:t>
            </w:r>
            <w:r>
              <w:rPr>
                <w:rFonts w:hint="eastAsia" w:ascii="宋体" w:hAnsi="宋体" w:eastAsia="宋体" w:cs="宋体"/>
                <w:color w:val="auto"/>
                <w:sz w:val="24"/>
                <w:szCs w:val="24"/>
                <w:highlight w:val="none"/>
                <w:lang w:val="en-US" w:eastAsia="zh-CN"/>
              </w:rPr>
              <w:t>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中心</w:t>
            </w:r>
            <w:r>
              <w:rPr>
                <w:rFonts w:hint="eastAsia" w:ascii="宋体" w:hAnsi="宋体" w:eastAsia="宋体" w:cs="宋体"/>
                <w:color w:val="auto"/>
                <w:sz w:val="24"/>
                <w:szCs w:val="24"/>
                <w:highlight w:val="none"/>
              </w:rPr>
              <w:t>环卫所</w:t>
            </w:r>
            <w:r>
              <w:rPr>
                <w:rFonts w:hint="eastAsia" w:ascii="宋体" w:hAnsi="宋体" w:eastAsia="宋体" w:cs="宋体"/>
                <w:color w:val="auto"/>
                <w:sz w:val="24"/>
                <w:szCs w:val="24"/>
                <w:highlight w:val="none"/>
                <w:lang w:val="en-US" w:eastAsia="zh-CN"/>
              </w:rPr>
              <w:t>全部管辖区域和城西环卫所部分管辖区域</w:t>
            </w:r>
            <w:r>
              <w:rPr>
                <w:rFonts w:hint="eastAsia" w:ascii="宋体" w:hAnsi="宋体" w:eastAsia="宋体" w:cs="宋体"/>
                <w:color w:val="auto"/>
                <w:sz w:val="24"/>
                <w:szCs w:val="24"/>
                <w:highlight w:val="none"/>
              </w:rPr>
              <w:t>组成，分数构成如下表：</w:t>
            </w:r>
          </w:p>
          <w:p w14:paraId="0324BBA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普宁市市区</w:t>
            </w:r>
            <w:r>
              <w:rPr>
                <w:rFonts w:hint="eastAsia" w:ascii="宋体" w:hAnsi="宋体" w:eastAsia="宋体" w:cs="宋体"/>
                <w:color w:val="auto"/>
                <w:sz w:val="24"/>
                <w:szCs w:val="24"/>
                <w:highlight w:val="none"/>
                <w:lang w:val="en-US" w:eastAsia="zh-CN"/>
              </w:rPr>
              <w:t>西</w:t>
            </w:r>
            <w:r>
              <w:rPr>
                <w:rFonts w:hint="eastAsia" w:ascii="宋体" w:hAnsi="宋体" w:eastAsia="宋体" w:cs="宋体"/>
                <w:color w:val="auto"/>
                <w:sz w:val="24"/>
                <w:szCs w:val="24"/>
                <w:highlight w:val="none"/>
              </w:rPr>
              <w:t>片区环境卫生月度评分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723"/>
              <w:gridCol w:w="1723"/>
              <w:gridCol w:w="1562"/>
              <w:gridCol w:w="1531"/>
            </w:tblGrid>
            <w:tr w14:paraId="44DB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8" w:type="dxa"/>
                  <w:gridSpan w:val="2"/>
                  <w:noWrap w:val="0"/>
                  <w:vAlign w:val="center"/>
                </w:tcPr>
                <w:p w14:paraId="534A3F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检查单位</w:t>
                  </w:r>
                </w:p>
              </w:tc>
              <w:tc>
                <w:tcPr>
                  <w:tcW w:w="1972" w:type="dxa"/>
                  <w:noWrap w:val="0"/>
                  <w:vAlign w:val="center"/>
                </w:tcPr>
                <w:p w14:paraId="56EB0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权重占比（%）</w:t>
                  </w:r>
                </w:p>
              </w:tc>
              <w:tc>
                <w:tcPr>
                  <w:tcW w:w="1734" w:type="dxa"/>
                  <w:noWrap w:val="0"/>
                  <w:vAlign w:val="center"/>
                </w:tcPr>
                <w:p w14:paraId="01268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分数（分）</w:t>
                  </w:r>
                </w:p>
              </w:tc>
              <w:tc>
                <w:tcPr>
                  <w:tcW w:w="1694" w:type="dxa"/>
                  <w:noWrap w:val="0"/>
                  <w:vAlign w:val="center"/>
                </w:tcPr>
                <w:p w14:paraId="189A30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合计（分）</w:t>
                  </w:r>
                </w:p>
              </w:tc>
            </w:tr>
            <w:tr w14:paraId="2B4D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8" w:type="dxa"/>
                  <w:gridSpan w:val="2"/>
                  <w:noWrap w:val="0"/>
                  <w:vAlign w:val="center"/>
                </w:tcPr>
                <w:p w14:paraId="0C839E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环卫中心</w:t>
                  </w:r>
                </w:p>
              </w:tc>
              <w:tc>
                <w:tcPr>
                  <w:tcW w:w="1972" w:type="dxa"/>
                  <w:noWrap w:val="0"/>
                  <w:vAlign w:val="center"/>
                </w:tcPr>
                <w:p w14:paraId="14CDCB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734" w:type="dxa"/>
                  <w:noWrap w:val="0"/>
                  <w:vAlign w:val="center"/>
                </w:tcPr>
                <w:p w14:paraId="7B04A0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restart"/>
                  <w:noWrap w:val="0"/>
                  <w:vAlign w:val="center"/>
                </w:tcPr>
                <w:p w14:paraId="5F6BC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64FE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restart"/>
                  <w:noWrap w:val="0"/>
                  <w:vAlign w:val="center"/>
                </w:tcPr>
                <w:p w14:paraId="0E260E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环卫所</w:t>
                  </w:r>
                </w:p>
              </w:tc>
              <w:tc>
                <w:tcPr>
                  <w:tcW w:w="2071" w:type="dxa"/>
                  <w:noWrap w:val="0"/>
                  <w:vAlign w:val="center"/>
                </w:tcPr>
                <w:p w14:paraId="051D30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城</w:t>
                  </w:r>
                  <w:r>
                    <w:rPr>
                      <w:rFonts w:hint="eastAsia" w:ascii="宋体" w:hAnsi="宋体" w:eastAsia="宋体" w:cs="宋体"/>
                      <w:color w:val="auto"/>
                      <w:sz w:val="24"/>
                      <w:szCs w:val="24"/>
                      <w:highlight w:val="none"/>
                      <w:lang w:val="en-US" w:eastAsia="zh-CN"/>
                    </w:rPr>
                    <w:t>西</w:t>
                  </w:r>
                  <w:r>
                    <w:rPr>
                      <w:rFonts w:hint="eastAsia" w:ascii="宋体" w:hAnsi="宋体" w:eastAsia="宋体" w:cs="宋体"/>
                      <w:color w:val="auto"/>
                      <w:sz w:val="24"/>
                      <w:szCs w:val="24"/>
                      <w:highlight w:val="none"/>
                    </w:rPr>
                    <w:t>所</w:t>
                  </w:r>
                </w:p>
              </w:tc>
              <w:tc>
                <w:tcPr>
                  <w:tcW w:w="1972" w:type="dxa"/>
                  <w:noWrap w:val="0"/>
                  <w:vAlign w:val="center"/>
                </w:tcPr>
                <w:p w14:paraId="748CAA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428EB4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40E581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676C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155BA5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2071" w:type="dxa"/>
                  <w:noWrap w:val="0"/>
                  <w:vAlign w:val="center"/>
                </w:tcPr>
                <w:p w14:paraId="68FB93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城</w:t>
                  </w:r>
                  <w:r>
                    <w:rPr>
                      <w:rFonts w:hint="eastAsia" w:ascii="宋体" w:hAnsi="宋体" w:eastAsia="宋体" w:cs="宋体"/>
                      <w:color w:val="auto"/>
                      <w:sz w:val="24"/>
                      <w:szCs w:val="24"/>
                      <w:highlight w:val="none"/>
                      <w:lang w:val="en-US" w:eastAsia="zh-CN"/>
                    </w:rPr>
                    <w:t>北</w:t>
                  </w:r>
                  <w:r>
                    <w:rPr>
                      <w:rFonts w:hint="eastAsia" w:ascii="宋体" w:hAnsi="宋体" w:eastAsia="宋体" w:cs="宋体"/>
                      <w:color w:val="auto"/>
                      <w:sz w:val="24"/>
                      <w:szCs w:val="24"/>
                      <w:highlight w:val="none"/>
                    </w:rPr>
                    <w:t>所</w:t>
                  </w:r>
                </w:p>
              </w:tc>
              <w:tc>
                <w:tcPr>
                  <w:tcW w:w="1972" w:type="dxa"/>
                  <w:noWrap w:val="0"/>
                  <w:vAlign w:val="center"/>
                </w:tcPr>
                <w:p w14:paraId="5CE78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68FE32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552B9F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13E5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53F5FA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2071" w:type="dxa"/>
                  <w:noWrap w:val="0"/>
                  <w:vAlign w:val="center"/>
                </w:tcPr>
                <w:p w14:paraId="6E60BF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中心所</w:t>
                  </w:r>
                </w:p>
              </w:tc>
              <w:tc>
                <w:tcPr>
                  <w:tcW w:w="1972" w:type="dxa"/>
                  <w:noWrap w:val="0"/>
                  <w:vAlign w:val="center"/>
                </w:tcPr>
                <w:p w14:paraId="01E5D8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568A19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2C5CC8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17AE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restart"/>
                  <w:noWrap w:val="0"/>
                  <w:vAlign w:val="center"/>
                </w:tcPr>
                <w:p w14:paraId="2E3B1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属地街道</w:t>
                  </w:r>
                </w:p>
              </w:tc>
              <w:tc>
                <w:tcPr>
                  <w:tcW w:w="2071" w:type="dxa"/>
                  <w:noWrap w:val="0"/>
                  <w:vAlign w:val="center"/>
                </w:tcPr>
                <w:p w14:paraId="282077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流沙西街道</w:t>
                  </w:r>
                </w:p>
              </w:tc>
              <w:tc>
                <w:tcPr>
                  <w:tcW w:w="1972" w:type="dxa"/>
                  <w:noWrap w:val="0"/>
                  <w:vAlign w:val="center"/>
                </w:tcPr>
                <w:p w14:paraId="2810CD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734" w:type="dxa"/>
                  <w:noWrap w:val="0"/>
                  <w:vAlign w:val="center"/>
                </w:tcPr>
                <w:p w14:paraId="319106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4F672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50B4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0724DD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2071" w:type="dxa"/>
                  <w:noWrap w:val="0"/>
                  <w:vAlign w:val="center"/>
                </w:tcPr>
                <w:p w14:paraId="223B07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流沙北街道</w:t>
                  </w:r>
                </w:p>
              </w:tc>
              <w:tc>
                <w:tcPr>
                  <w:tcW w:w="1972" w:type="dxa"/>
                  <w:noWrap w:val="0"/>
                  <w:vAlign w:val="center"/>
                </w:tcPr>
                <w:p w14:paraId="67D898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1734" w:type="dxa"/>
                  <w:noWrap w:val="0"/>
                  <w:vAlign w:val="center"/>
                </w:tcPr>
                <w:p w14:paraId="5C6AD0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56839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183B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564449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2071" w:type="dxa"/>
                  <w:noWrap w:val="0"/>
                  <w:vAlign w:val="center"/>
                </w:tcPr>
                <w:p w14:paraId="35DD8D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池尾街道</w:t>
                  </w:r>
                </w:p>
              </w:tc>
              <w:tc>
                <w:tcPr>
                  <w:tcW w:w="1972" w:type="dxa"/>
                  <w:noWrap w:val="0"/>
                  <w:vAlign w:val="center"/>
                </w:tcPr>
                <w:p w14:paraId="47B1DB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734" w:type="dxa"/>
                  <w:noWrap w:val="0"/>
                  <w:vAlign w:val="center"/>
                </w:tcPr>
                <w:p w14:paraId="1F1E4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2BB8E9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52D0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center"/>
                </w:tcPr>
                <w:p w14:paraId="6B7D90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2071" w:type="dxa"/>
                  <w:noWrap w:val="0"/>
                  <w:vAlign w:val="center"/>
                </w:tcPr>
                <w:p w14:paraId="62CFCA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燎原街道</w:t>
                  </w:r>
                </w:p>
              </w:tc>
              <w:tc>
                <w:tcPr>
                  <w:tcW w:w="1972" w:type="dxa"/>
                  <w:noWrap w:val="0"/>
                  <w:vAlign w:val="center"/>
                </w:tcPr>
                <w:p w14:paraId="2DDCD4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734" w:type="dxa"/>
                  <w:noWrap w:val="0"/>
                  <w:vAlign w:val="center"/>
                </w:tcPr>
                <w:p w14:paraId="358447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3FCB3D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r w14:paraId="3268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8" w:type="dxa"/>
                  <w:gridSpan w:val="2"/>
                  <w:noWrap w:val="0"/>
                  <w:vAlign w:val="center"/>
                </w:tcPr>
                <w:p w14:paraId="30167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公众监督</w:t>
                  </w:r>
                </w:p>
              </w:tc>
              <w:tc>
                <w:tcPr>
                  <w:tcW w:w="1972" w:type="dxa"/>
                  <w:noWrap w:val="0"/>
                  <w:vAlign w:val="center"/>
                </w:tcPr>
                <w:p w14:paraId="43ED4A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34" w:type="dxa"/>
                  <w:noWrap w:val="0"/>
                  <w:vAlign w:val="center"/>
                </w:tcPr>
                <w:p w14:paraId="4E4E3A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c>
                <w:tcPr>
                  <w:tcW w:w="1694" w:type="dxa"/>
                  <w:vMerge w:val="continue"/>
                  <w:noWrap w:val="0"/>
                  <w:vAlign w:val="center"/>
                </w:tcPr>
                <w:p w14:paraId="0111C0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rPr>
                  </w:pPr>
                </w:p>
              </w:tc>
            </w:tr>
          </w:tbl>
          <w:p w14:paraId="6876849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说明：每单项考核评分均采取百分制计分，根据得分权重折算分值后计算</w:t>
            </w:r>
            <w:r>
              <w:rPr>
                <w:rFonts w:hint="eastAsia" w:ascii="宋体" w:hAnsi="宋体" w:eastAsia="宋体" w:cs="宋体"/>
                <w:color w:val="auto"/>
                <w:sz w:val="24"/>
                <w:szCs w:val="24"/>
                <w:highlight w:val="none"/>
                <w:lang w:val="en-US" w:eastAsia="zh-CN"/>
              </w:rPr>
              <w:t>合计月度评分</w:t>
            </w:r>
            <w:r>
              <w:rPr>
                <w:rFonts w:hint="eastAsia" w:ascii="宋体" w:hAnsi="宋体" w:eastAsia="宋体" w:cs="宋体"/>
                <w:color w:val="auto"/>
                <w:sz w:val="24"/>
                <w:szCs w:val="24"/>
                <w:highlight w:val="none"/>
              </w:rPr>
              <w:t>。</w:t>
            </w:r>
          </w:p>
          <w:p w14:paraId="0DBA9CA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评分标准。月度评分均按100分制进行扣分。根据保洁作业情况对应分数为</w:t>
            </w:r>
            <w:r>
              <w:rPr>
                <w:rFonts w:hint="eastAsia" w:ascii="宋体" w:hAnsi="宋体" w:eastAsia="宋体" w:cs="宋体"/>
                <w:color w:val="auto"/>
                <w:sz w:val="24"/>
                <w:szCs w:val="24"/>
                <w:highlight w:val="none"/>
                <w:lang w:eastAsia="zh-CN"/>
              </w:rPr>
              <w:t>：</w:t>
            </w:r>
          </w:p>
          <w:p w14:paraId="26EFC71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100分至95分（级别“好”）：服务区域道路、街巷整体干净整洁，无明显杂物；公共区域均无垃圾积存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交通隔离栏洁净无污渍、呈现本色；沿街墙面无牛皮癣及乱张贴、乱涂画；机扫、洒水、冲洗和垃圾运输等机械作业严格按约定频次、路线执行，运作有序到位。</w:t>
            </w:r>
          </w:p>
          <w:p w14:paraId="72C59BC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分至90分（级别“合格”）：服务区域道路、街巷基本干净整洁，偶有零星杂物且能及时清理；公共区域无明显垃圾积存；交通隔离栏有少量轻微污渍，不影响整体观感；沿街墙面无明显牛皮癣，零星小广告能及时清除；机扫、洒水、冲洗和垃圾运输等机械作业运作基本有序，无重大频次缺失或路线遗漏。</w:t>
            </w:r>
          </w:p>
          <w:p w14:paraId="4149E06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分至85分（级别“基本合格”）：服务区域道路、街巷整体整洁度一般，存在一定的散落垃圾；公共区域有局部垃圾积存；交通隔离栏有多处污渍，部分区域未能呈现本色；沿街墙面有少量明显牛皮癣，清理不够及时；机扫、洒水、冲洗和垃圾运输等机械作业存在个别频次缺失或路线遗漏，运作基本达标。</w:t>
            </w:r>
          </w:p>
          <w:p w14:paraId="64545DC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分以下（级别“不合格”）：保洁道路、街巷不少于2天无普扫，漏扫严重，脏乱差现象突出；公共区域有明显垃圾积存；交通隔离栏污渍严重，大面积未能呈现本色；沿街墙面有较多明显牛皮癣，清理不彻底；机扫、洒水、冲洗和垃圾运输等机械作业运作无序，存在多次频次缺失、路线遗漏或违规操作。</w:t>
            </w:r>
          </w:p>
          <w:p w14:paraId="5FB76BF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如有下列两种情况之一，月度评分不得高于90分：①</w:t>
            </w:r>
            <w:r>
              <w:rPr>
                <w:rFonts w:hint="eastAsia" w:ascii="宋体" w:hAnsi="宋体" w:eastAsia="宋体" w:cs="宋体"/>
                <w:color w:val="auto"/>
                <w:sz w:val="24"/>
                <w:szCs w:val="24"/>
                <w:highlight w:val="none"/>
                <w:lang w:val="en-US" w:eastAsia="zh-CN"/>
              </w:rPr>
              <w:t>本片区</w:t>
            </w:r>
            <w:r>
              <w:rPr>
                <w:rFonts w:hint="eastAsia" w:ascii="宋体" w:hAnsi="宋体" w:eastAsia="宋体" w:cs="宋体"/>
                <w:color w:val="auto"/>
                <w:sz w:val="24"/>
                <w:szCs w:val="24"/>
                <w:highlight w:val="none"/>
              </w:rPr>
              <w:t>的居民区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含平房区域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超过10%面积未普扫；②公厕</w:t>
            </w:r>
            <w:r>
              <w:rPr>
                <w:rFonts w:hint="eastAsia" w:ascii="宋体" w:hAnsi="宋体" w:eastAsia="宋体" w:cs="宋体"/>
                <w:color w:val="auto"/>
                <w:sz w:val="24"/>
                <w:szCs w:val="24"/>
                <w:highlight w:val="none"/>
                <w:lang w:val="en-US" w:eastAsia="zh-CN"/>
              </w:rPr>
              <w:t>无及时冲洗、</w:t>
            </w:r>
            <w:r>
              <w:rPr>
                <w:rFonts w:hint="eastAsia" w:ascii="宋体" w:hAnsi="宋体" w:eastAsia="宋体" w:cs="宋体"/>
                <w:color w:val="auto"/>
                <w:sz w:val="24"/>
                <w:szCs w:val="24"/>
                <w:highlight w:val="none"/>
              </w:rPr>
              <w:t>有明显</w:t>
            </w:r>
            <w:r>
              <w:rPr>
                <w:rFonts w:hint="eastAsia" w:ascii="宋体" w:hAnsi="宋体" w:eastAsia="宋体" w:cs="宋体"/>
                <w:color w:val="auto"/>
                <w:sz w:val="24"/>
                <w:szCs w:val="24"/>
                <w:highlight w:val="none"/>
                <w:lang w:val="en-US" w:eastAsia="zh-CN"/>
              </w:rPr>
              <w:t>异</w:t>
            </w:r>
            <w:r>
              <w:rPr>
                <w:rFonts w:hint="eastAsia" w:ascii="宋体" w:hAnsi="宋体" w:eastAsia="宋体" w:cs="宋体"/>
                <w:color w:val="auto"/>
                <w:sz w:val="24"/>
                <w:szCs w:val="24"/>
                <w:highlight w:val="none"/>
              </w:rPr>
              <w:t>味。</w:t>
            </w:r>
          </w:p>
          <w:p w14:paraId="186589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如有下列两种情况之一，月度评分不得高于85分：①本片区的居民区（</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平房区域）超过</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%面积未普扫；②公厕有恶臭气味。</w:t>
            </w:r>
          </w:p>
          <w:p w14:paraId="51215FA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因中标人环卫作业工作落实不到位导致采购人在上级会议或新闻媒体曝光中进行公开检讨的，每次在月度评分中扣2分。</w:t>
            </w:r>
          </w:p>
          <w:p w14:paraId="724E4F4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分数运用。环卫中心组织的月度检查对环卫所区域进行督查评分后，同时将视情况对该所管理台账、日常检查、月度检查扣分情况进行督查、纠正规范。</w:t>
            </w:r>
          </w:p>
          <w:p w14:paraId="18B53FE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公众监督。对新闻媒体曝光、市民投诉的问题，经核实属中标人责任的，由采购人在最短时间内通知中标人一同到现场进行处理。每宗有效投诉在月度评分中</w:t>
            </w:r>
            <w:r>
              <w:rPr>
                <w:rFonts w:hint="eastAsia" w:ascii="宋体" w:hAnsi="宋体" w:eastAsia="宋体" w:cs="宋体"/>
                <w:color w:val="auto"/>
                <w:sz w:val="24"/>
                <w:szCs w:val="24"/>
                <w:highlight w:val="none"/>
                <w:lang w:val="en-US" w:eastAsia="zh-CN"/>
              </w:rPr>
              <w:t>的公众监督</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如果公众监督10分扣完，则在得分中继续扣除。</w:t>
            </w:r>
          </w:p>
          <w:p w14:paraId="3636B1B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计分办法。采购人每月对中标人根据考核扣分额度核定当月服务费，所扣款项由上述日常检查和月度检查所扣款组成。</w:t>
            </w:r>
            <w:r>
              <w:rPr>
                <w:rFonts w:hint="eastAsia" w:ascii="宋体" w:hAnsi="宋体" w:eastAsia="宋体" w:cs="宋体"/>
                <w:color w:val="auto"/>
                <w:sz w:val="24"/>
                <w:szCs w:val="24"/>
                <w:highlight w:val="none"/>
                <w:lang w:val="en-US" w:eastAsia="zh-CN"/>
              </w:rPr>
              <w:t>西</w:t>
            </w:r>
            <w:r>
              <w:rPr>
                <w:rFonts w:hint="eastAsia" w:ascii="宋体" w:hAnsi="宋体" w:eastAsia="宋体" w:cs="宋体"/>
                <w:color w:val="auto"/>
                <w:sz w:val="24"/>
                <w:szCs w:val="24"/>
                <w:highlight w:val="none"/>
              </w:rPr>
              <w:t>片区当月月度评分低于95分的，95——90分（含90分）</w:t>
            </w:r>
            <w:r>
              <w:rPr>
                <w:rFonts w:hint="eastAsia" w:ascii="宋体" w:hAnsi="宋体" w:eastAsia="宋体" w:cs="宋体"/>
                <w:color w:val="auto"/>
                <w:sz w:val="24"/>
                <w:szCs w:val="24"/>
                <w:highlight w:val="none"/>
                <w:lang w:val="en-US" w:eastAsia="zh-CN"/>
              </w:rPr>
              <w:t>的部分</w:t>
            </w:r>
            <w:r>
              <w:rPr>
                <w:rFonts w:hint="eastAsia" w:ascii="宋体" w:hAnsi="宋体" w:eastAsia="宋体" w:cs="宋体"/>
                <w:color w:val="auto"/>
                <w:sz w:val="24"/>
                <w:szCs w:val="24"/>
                <w:highlight w:val="none"/>
              </w:rPr>
              <w:t>每分扣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万元，90——85分（含85分）</w:t>
            </w:r>
            <w:r>
              <w:rPr>
                <w:rFonts w:hint="eastAsia" w:ascii="宋体" w:hAnsi="宋体" w:eastAsia="宋体" w:cs="宋体"/>
                <w:color w:val="auto"/>
                <w:sz w:val="24"/>
                <w:szCs w:val="24"/>
                <w:highlight w:val="none"/>
                <w:lang w:val="en-US" w:eastAsia="zh-CN"/>
              </w:rPr>
              <w:t>的部分</w:t>
            </w:r>
            <w:r>
              <w:rPr>
                <w:rFonts w:hint="eastAsia" w:ascii="宋体" w:hAnsi="宋体" w:eastAsia="宋体" w:cs="宋体"/>
                <w:color w:val="auto"/>
                <w:sz w:val="24"/>
                <w:szCs w:val="24"/>
                <w:highlight w:val="none"/>
              </w:rPr>
              <w:t>每分扣</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万元，低于85分</w:t>
            </w:r>
            <w:r>
              <w:rPr>
                <w:rFonts w:hint="eastAsia" w:ascii="宋体" w:hAnsi="宋体" w:eastAsia="宋体" w:cs="宋体"/>
                <w:color w:val="auto"/>
                <w:sz w:val="24"/>
                <w:szCs w:val="24"/>
                <w:highlight w:val="none"/>
                <w:lang w:val="en-US" w:eastAsia="zh-CN"/>
              </w:rPr>
              <w:t>的部分</w:t>
            </w:r>
            <w:r>
              <w:rPr>
                <w:rFonts w:hint="eastAsia" w:ascii="宋体" w:hAnsi="宋体" w:eastAsia="宋体" w:cs="宋体"/>
                <w:color w:val="auto"/>
                <w:sz w:val="24"/>
                <w:szCs w:val="24"/>
                <w:highlight w:val="none"/>
              </w:rPr>
              <w:t>每分扣</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p>
          <w:p w14:paraId="52368B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color w:val="auto"/>
                <w:sz w:val="24"/>
                <w:szCs w:val="24"/>
                <w:highlight w:val="none"/>
              </w:rPr>
            </w:pPr>
            <w:r>
              <w:rPr>
                <w:rFonts w:hint="eastAsia" w:ascii="宋体" w:hAnsi="宋体" w:eastAsia="宋体" w:cs="宋体"/>
                <w:color w:val="auto"/>
                <w:sz w:val="24"/>
                <w:szCs w:val="24"/>
                <w:highlight w:val="none"/>
                <w:lang w:val="en-US" w:eastAsia="zh-CN"/>
              </w:rPr>
              <w:t>3. 合同终止。</w:t>
            </w:r>
            <w:r>
              <w:rPr>
                <w:rFonts w:hint="eastAsia" w:ascii="宋体" w:hAnsi="宋体" w:eastAsia="宋体" w:cs="宋体"/>
                <w:color w:val="auto"/>
                <w:sz w:val="24"/>
                <w:szCs w:val="24"/>
                <w:highlight w:val="none"/>
                <w:lang w:eastAsia="zh-CN"/>
              </w:rPr>
              <w:t>任意连续三个月的月度扣款中，每月扣款均高于20%，终止合同；最近12个连续自然月内，月度扣款中累计出现5次扣款高于20%，终止合同；最近12个连续自然月内，月度扣款高于30%的情形第二次出现时，终止合同。</w:t>
            </w:r>
          </w:p>
        </w:tc>
      </w:tr>
      <w:tr w14:paraId="353A9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63CE172C">
            <w:pPr>
              <w:spacing w:line="360" w:lineRule="auto"/>
              <w:rPr>
                <w:color w:val="auto"/>
                <w:sz w:val="24"/>
                <w:szCs w:val="24"/>
                <w:highlight w:val="none"/>
              </w:rPr>
            </w:pPr>
          </w:p>
        </w:tc>
        <w:tc>
          <w:tcPr>
            <w:tcW w:w="673" w:type="dxa"/>
          </w:tcPr>
          <w:p w14:paraId="11947791">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11</w:t>
            </w:r>
          </w:p>
        </w:tc>
        <w:tc>
          <w:tcPr>
            <w:tcW w:w="8109" w:type="dxa"/>
          </w:tcPr>
          <w:p w14:paraId="01B599FD">
            <w:pPr>
              <w:spacing w:line="360" w:lineRule="auto"/>
              <w:jc w:val="left"/>
              <w:rPr>
                <w:color w:val="auto"/>
                <w:sz w:val="24"/>
                <w:szCs w:val="24"/>
                <w:highlight w:val="none"/>
              </w:rPr>
            </w:pPr>
            <w:r>
              <w:rPr>
                <w:b/>
                <w:color w:val="auto"/>
                <w:sz w:val="24"/>
                <w:szCs w:val="24"/>
                <w:highlight w:val="none"/>
              </w:rPr>
              <w:t>承包责任</w:t>
            </w:r>
          </w:p>
          <w:p w14:paraId="4768F3E5">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中标人应建立完整的服务组织机构，组织机构总人数必须满足承包任务的需求。</w:t>
            </w:r>
          </w:p>
          <w:p w14:paraId="5CB98B0F">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中标人应严格按有关部门的要求，制定文明作业制度、设备设施使用维护制度、员工管理制度等有关规章制度，按规定经过有关程序后，依法向劳动主管部门备案，并于合同签署之日起30日内提供给采购人备案，采购人有权对中标人的执行情况进行监督。中标人如有违反，采购人可要求中标人进行整改。</w:t>
            </w:r>
          </w:p>
          <w:p w14:paraId="1D54110E">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中标人负责本公司人员的思想教育，专业培训，做到遵纪守法。</w:t>
            </w:r>
          </w:p>
          <w:p w14:paraId="28AD1F10">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在履行合同的过程中，中标人及其员工给他人造成人身伤亡和财产损失的，由中标人自行承担一切责任。</w:t>
            </w:r>
          </w:p>
          <w:p w14:paraId="70EAF588">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承包期间，中标人应自行承担因履行合同所产生的债权债务等一切经济责任；自觉遵守各项管理规定，包括但不限于治安、交通、消防、计划生育、劳动法律法规等，中标人因违反上述规定而导致的行政和经济责任，均由中标人自行承担相应责任。由此而给采购人造成损失的，采购人有权向中标人追偿。</w:t>
            </w:r>
          </w:p>
        </w:tc>
      </w:tr>
      <w:tr w14:paraId="31B1C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DE9685F">
            <w:pPr>
              <w:spacing w:line="360" w:lineRule="auto"/>
              <w:rPr>
                <w:color w:val="auto"/>
                <w:sz w:val="24"/>
                <w:szCs w:val="24"/>
                <w:highlight w:val="none"/>
              </w:rPr>
            </w:pPr>
          </w:p>
        </w:tc>
        <w:tc>
          <w:tcPr>
            <w:tcW w:w="673" w:type="dxa"/>
          </w:tcPr>
          <w:p w14:paraId="507C618F">
            <w:pPr>
              <w:spacing w:line="36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12</w:t>
            </w:r>
          </w:p>
        </w:tc>
        <w:tc>
          <w:tcPr>
            <w:tcW w:w="8109" w:type="dxa"/>
          </w:tcPr>
          <w:p w14:paraId="0057B5B6">
            <w:pPr>
              <w:spacing w:line="360" w:lineRule="auto"/>
              <w:jc w:val="left"/>
              <w:rPr>
                <w:color w:val="auto"/>
                <w:sz w:val="24"/>
                <w:szCs w:val="24"/>
                <w:highlight w:val="none"/>
              </w:rPr>
            </w:pPr>
            <w:r>
              <w:rPr>
                <w:b/>
                <w:color w:val="auto"/>
                <w:sz w:val="24"/>
                <w:szCs w:val="24"/>
                <w:highlight w:val="none"/>
              </w:rPr>
              <w:t>违约责任</w:t>
            </w:r>
          </w:p>
          <w:p w14:paraId="2186B11F">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中标人不得将承包项目转包及分包，否则，将视为中标人严重违约，采购人有权单方解除合同，没收全部履约保证金并有权追偿由此给采购人造成的经济损失。</w:t>
            </w:r>
          </w:p>
          <w:p w14:paraId="01917091">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在执行临时性、阶段性任务（含国家、省、市检查，突击整治，重大活动等）期间，中标人的作业质量未能达到规定的要求，采购人可另行安排人员进行作业，并按所发生的实际开支费用的2倍扣减中标人当月的服务费。</w:t>
            </w:r>
          </w:p>
          <w:p w14:paraId="0D94C82E">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承包期间，如因中标人违反法律法规及国家有关政策而受到政府有关部门的处分</w:t>
            </w:r>
            <w:r>
              <w:rPr>
                <w:rFonts w:hint="eastAsia"/>
                <w:color w:val="auto"/>
                <w:sz w:val="24"/>
                <w:szCs w:val="24"/>
                <w:highlight w:val="none"/>
                <w:lang w:val="en-US" w:eastAsia="zh-CN"/>
              </w:rPr>
              <w:t>或</w:t>
            </w:r>
            <w:r>
              <w:rPr>
                <w:color w:val="auto"/>
                <w:sz w:val="24"/>
                <w:szCs w:val="24"/>
                <w:highlight w:val="none"/>
              </w:rPr>
              <w:t>处罚的，而无法继续履行合同的，采购人有权单方面解除合同，不承担任何法律责任及经济补偿。</w:t>
            </w:r>
          </w:p>
          <w:p w14:paraId="5E0FA508">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承包期间，双方必须严格履行合同，在执行过程中，如遇未尽事宜（含政府有关部门的政策、作业标准、作业时间、收费管理调整等），双方可协商解决，并签署书面补充合同。</w:t>
            </w:r>
          </w:p>
        </w:tc>
      </w:tr>
      <w:tr w14:paraId="67A94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4447772">
            <w:pPr>
              <w:spacing w:line="360" w:lineRule="auto"/>
              <w:rPr>
                <w:color w:val="auto"/>
                <w:sz w:val="24"/>
                <w:szCs w:val="24"/>
                <w:highlight w:val="none"/>
              </w:rPr>
            </w:pPr>
          </w:p>
        </w:tc>
        <w:tc>
          <w:tcPr>
            <w:tcW w:w="673" w:type="dxa"/>
          </w:tcPr>
          <w:p w14:paraId="77DF798A">
            <w:pPr>
              <w:spacing w:line="360" w:lineRule="auto"/>
              <w:rPr>
                <w:rFonts w:hint="eastAsia" w:eastAsiaTheme="minorEastAsia"/>
                <w:color w:val="auto"/>
                <w:sz w:val="24"/>
                <w:szCs w:val="24"/>
                <w:highlight w:val="none"/>
                <w:lang w:eastAsia="zh-CN"/>
              </w:rPr>
            </w:pPr>
            <w:r>
              <w:rPr>
                <w:color w:val="auto"/>
                <w:sz w:val="24"/>
                <w:szCs w:val="24"/>
                <w:highlight w:val="none"/>
              </w:rPr>
              <w:t>1</w:t>
            </w:r>
            <w:r>
              <w:rPr>
                <w:rFonts w:hint="eastAsia"/>
                <w:color w:val="auto"/>
                <w:sz w:val="24"/>
                <w:szCs w:val="24"/>
                <w:highlight w:val="none"/>
                <w:lang w:val="en-US" w:eastAsia="zh-CN"/>
              </w:rPr>
              <w:t>3</w:t>
            </w:r>
          </w:p>
        </w:tc>
        <w:tc>
          <w:tcPr>
            <w:tcW w:w="8109" w:type="dxa"/>
          </w:tcPr>
          <w:p w14:paraId="5A7246C6">
            <w:pPr>
              <w:spacing w:line="360" w:lineRule="auto"/>
              <w:jc w:val="left"/>
              <w:rPr>
                <w:color w:val="auto"/>
                <w:sz w:val="24"/>
                <w:szCs w:val="24"/>
                <w:highlight w:val="none"/>
              </w:rPr>
            </w:pPr>
            <w:r>
              <w:rPr>
                <w:b/>
                <w:color w:val="auto"/>
                <w:sz w:val="24"/>
                <w:szCs w:val="24"/>
                <w:highlight w:val="none"/>
              </w:rPr>
              <w:t>其他要求</w:t>
            </w:r>
          </w:p>
          <w:p w14:paraId="6B00DB4D">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采购人不提供中标人作业人员的食宿。</w:t>
            </w:r>
          </w:p>
          <w:p w14:paraId="24C22164">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中标人工作人员发生违法、违规行为的，所造成一切后果及损失，由中标人承担责任和负责赔偿。</w:t>
            </w:r>
          </w:p>
          <w:p w14:paraId="0B6BF615">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未经采购人同意，中标人不得对市政道路的设施及布置作变更。</w:t>
            </w:r>
          </w:p>
          <w:p w14:paraId="55FE5DFF">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中标人的组织机构必须完整，组织机构总人数必须满足采购人要求。</w:t>
            </w:r>
          </w:p>
          <w:p w14:paraId="6C415DA2">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中标人全部员工，须符合《</w:t>
            </w:r>
            <w:r>
              <w:rPr>
                <w:rFonts w:hint="eastAsia"/>
                <w:color w:val="auto"/>
                <w:sz w:val="24"/>
                <w:szCs w:val="24"/>
                <w:highlight w:val="none"/>
                <w:lang w:eastAsia="zh-CN"/>
              </w:rPr>
              <w:t>中华人民共和国劳动合同法</w:t>
            </w:r>
            <w:r>
              <w:rPr>
                <w:color w:val="auto"/>
                <w:sz w:val="24"/>
                <w:szCs w:val="24"/>
                <w:highlight w:val="none"/>
              </w:rPr>
              <w:t>》和普宁市政府用工标准要求。</w:t>
            </w:r>
          </w:p>
          <w:p w14:paraId="1F24A325">
            <w:pPr>
              <w:spacing w:line="360" w:lineRule="auto"/>
              <w:jc w:val="left"/>
              <w:rPr>
                <w:color w:val="auto"/>
                <w:sz w:val="24"/>
                <w:szCs w:val="24"/>
                <w:highlight w:val="none"/>
              </w:rPr>
            </w:pP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承包期间发生各种事故：包括治安、交通、消防和违反计划生育、劳务纠纷等事件均由中标人承担一切责任。</w:t>
            </w:r>
          </w:p>
          <w:p w14:paraId="723A4C42">
            <w:pPr>
              <w:spacing w:line="360" w:lineRule="auto"/>
              <w:jc w:val="left"/>
              <w:rPr>
                <w:color w:val="auto"/>
                <w:sz w:val="24"/>
                <w:szCs w:val="24"/>
                <w:highlight w:val="none"/>
              </w:rPr>
            </w:pP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承包期间，如因中标人引起的严重劳务纠纷问题，影响正常工作的，采购人有权临时另行聘请员工确保正常工作，所产生的一切费用由中标人支付。一年内累计出现两次这类事件，采购人有权解除合同。</w:t>
            </w:r>
          </w:p>
          <w:p w14:paraId="0E2110FB">
            <w:pPr>
              <w:spacing w:line="360" w:lineRule="auto"/>
              <w:jc w:val="left"/>
              <w:rPr>
                <w:color w:val="auto"/>
                <w:sz w:val="24"/>
                <w:szCs w:val="24"/>
                <w:highlight w:val="none"/>
              </w:rPr>
            </w:pPr>
            <w:r>
              <w:rPr>
                <w:color w:val="auto"/>
                <w:sz w:val="24"/>
                <w:szCs w:val="24"/>
                <w:highlight w:val="none"/>
              </w:rPr>
              <w:t>8</w:t>
            </w:r>
            <w:r>
              <w:rPr>
                <w:rFonts w:hint="eastAsia"/>
                <w:color w:val="auto"/>
                <w:sz w:val="24"/>
                <w:szCs w:val="24"/>
                <w:highlight w:val="none"/>
                <w:lang w:eastAsia="zh-CN"/>
              </w:rPr>
              <w:t>、</w:t>
            </w:r>
            <w:r>
              <w:rPr>
                <w:color w:val="auto"/>
                <w:sz w:val="24"/>
                <w:szCs w:val="24"/>
                <w:highlight w:val="none"/>
              </w:rPr>
              <w:t>采购人有权以会议形式召集中标人研究工作和通报情况。中标人必须按通知要求出席会议。</w:t>
            </w:r>
          </w:p>
          <w:p w14:paraId="0455EB06">
            <w:pPr>
              <w:spacing w:line="360" w:lineRule="auto"/>
              <w:jc w:val="left"/>
              <w:rPr>
                <w:color w:val="auto"/>
                <w:sz w:val="24"/>
                <w:szCs w:val="24"/>
                <w:highlight w:val="none"/>
              </w:rPr>
            </w:pPr>
            <w:r>
              <w:rPr>
                <w:color w:val="auto"/>
                <w:sz w:val="24"/>
                <w:szCs w:val="24"/>
                <w:highlight w:val="none"/>
              </w:rPr>
              <w:t>9</w:t>
            </w:r>
            <w:r>
              <w:rPr>
                <w:rFonts w:hint="eastAsia"/>
                <w:color w:val="auto"/>
                <w:sz w:val="24"/>
                <w:szCs w:val="24"/>
                <w:highlight w:val="none"/>
                <w:lang w:eastAsia="zh-CN"/>
              </w:rPr>
              <w:t>、</w:t>
            </w:r>
            <w:r>
              <w:rPr>
                <w:color w:val="auto"/>
                <w:sz w:val="24"/>
                <w:szCs w:val="24"/>
                <w:highlight w:val="none"/>
              </w:rPr>
              <w:t>项目服务期满后，中标人需积极配合与后续服务公司的有序交接，并主动安排作业人员撤离场地，妥当处理服务期内尚未解决的人工工伤劳资纠纷等。</w:t>
            </w:r>
          </w:p>
        </w:tc>
      </w:tr>
      <w:tr w14:paraId="25106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647C7E94">
            <w:pPr>
              <w:spacing w:line="360" w:lineRule="auto"/>
              <w:rPr>
                <w:color w:val="auto"/>
                <w:sz w:val="24"/>
                <w:szCs w:val="24"/>
                <w:highlight w:val="none"/>
              </w:rPr>
            </w:pPr>
          </w:p>
        </w:tc>
        <w:tc>
          <w:tcPr>
            <w:tcW w:w="673" w:type="dxa"/>
          </w:tcPr>
          <w:p w14:paraId="2D734E68">
            <w:pPr>
              <w:spacing w:line="360" w:lineRule="auto"/>
              <w:rPr>
                <w:rFonts w:hint="eastAsia" w:eastAsiaTheme="minorEastAsia"/>
                <w:color w:val="auto"/>
                <w:sz w:val="24"/>
                <w:szCs w:val="24"/>
                <w:highlight w:val="none"/>
                <w:lang w:eastAsia="zh-CN"/>
              </w:rPr>
            </w:pPr>
            <w:r>
              <w:rPr>
                <w:color w:val="auto"/>
                <w:sz w:val="24"/>
                <w:szCs w:val="24"/>
                <w:highlight w:val="none"/>
              </w:rPr>
              <w:t>1</w:t>
            </w:r>
            <w:r>
              <w:rPr>
                <w:rFonts w:hint="eastAsia"/>
                <w:color w:val="auto"/>
                <w:sz w:val="24"/>
                <w:szCs w:val="24"/>
                <w:highlight w:val="none"/>
                <w:lang w:val="en-US" w:eastAsia="zh-CN"/>
              </w:rPr>
              <w:t>4</w:t>
            </w:r>
          </w:p>
        </w:tc>
        <w:tc>
          <w:tcPr>
            <w:tcW w:w="8109" w:type="dxa"/>
          </w:tcPr>
          <w:p w14:paraId="2C573976">
            <w:pPr>
              <w:spacing w:line="360" w:lineRule="auto"/>
              <w:jc w:val="left"/>
              <w:rPr>
                <w:color w:val="auto"/>
                <w:sz w:val="24"/>
                <w:szCs w:val="24"/>
                <w:highlight w:val="none"/>
              </w:rPr>
            </w:pPr>
            <w:r>
              <w:rPr>
                <w:b/>
                <w:color w:val="auto"/>
                <w:sz w:val="24"/>
                <w:szCs w:val="24"/>
                <w:highlight w:val="none"/>
              </w:rPr>
              <w:t>中标后由中标人提供的服务方案</w:t>
            </w:r>
          </w:p>
          <w:p w14:paraId="381FCB32">
            <w:pPr>
              <w:spacing w:line="360" w:lineRule="auto"/>
              <w:rPr>
                <w:color w:val="auto"/>
                <w:sz w:val="24"/>
                <w:szCs w:val="24"/>
                <w:highlight w:val="none"/>
              </w:rPr>
            </w:pPr>
            <w:r>
              <w:rPr>
                <w:color w:val="auto"/>
                <w:sz w:val="24"/>
                <w:szCs w:val="24"/>
                <w:highlight w:val="none"/>
              </w:rPr>
              <w:t>中标人应按街道划分递交完整的项目实施总方案，说明各分项计划，区域四至布工表、提交图表、文字说明书等资料，包含但不限于如下内容：</w:t>
            </w:r>
          </w:p>
          <w:p w14:paraId="3A0CE641">
            <w:pPr>
              <w:spacing w:line="360" w:lineRule="auto"/>
              <w:jc w:val="left"/>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中标人应详细列明每条街道的保洁人员配置表。</w:t>
            </w:r>
          </w:p>
          <w:p w14:paraId="5AD167C5">
            <w:pPr>
              <w:spacing w:line="360" w:lineRule="auto"/>
              <w:jc w:val="left"/>
              <w:rPr>
                <w:color w:val="auto"/>
                <w:sz w:val="24"/>
                <w:szCs w:val="24"/>
                <w:highlight w:val="none"/>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中标人拟采取的管理方式。包括：内部管理架构、运作机制、工作流程、信息反馈渠道、控制方式等。</w:t>
            </w:r>
          </w:p>
          <w:p w14:paraId="2FD7F0F8">
            <w:pPr>
              <w:spacing w:line="360" w:lineRule="auto"/>
              <w:jc w:val="left"/>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作业人员配备。包括：</w:t>
            </w:r>
            <w:r>
              <w:rPr>
                <w:rFonts w:hint="eastAsia"/>
                <w:color w:val="auto"/>
                <w:sz w:val="24"/>
                <w:szCs w:val="24"/>
                <w:highlight w:val="none"/>
                <w:lang w:val="en-US" w:eastAsia="zh-CN"/>
              </w:rPr>
              <w:t>环卫作业</w:t>
            </w:r>
            <w:r>
              <w:rPr>
                <w:color w:val="auto"/>
                <w:sz w:val="24"/>
                <w:szCs w:val="24"/>
                <w:highlight w:val="none"/>
              </w:rPr>
              <w:t>主要负责人简历、数量、人员的配置等。</w:t>
            </w:r>
          </w:p>
          <w:p w14:paraId="67DDED13">
            <w:pPr>
              <w:spacing w:line="360" w:lineRule="auto"/>
              <w:jc w:val="left"/>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作业人员的培训，包括：培训计划、方式、目标等。</w:t>
            </w:r>
          </w:p>
          <w:p w14:paraId="7472E4D2">
            <w:pPr>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lang w:eastAsia="zh-CN"/>
              </w:rPr>
              <w:t>、</w:t>
            </w:r>
            <w:r>
              <w:rPr>
                <w:color w:val="auto"/>
                <w:sz w:val="24"/>
                <w:szCs w:val="24"/>
                <w:highlight w:val="none"/>
              </w:rPr>
              <w:t>完成工作必需的</w:t>
            </w:r>
            <w:r>
              <w:rPr>
                <w:rFonts w:hint="eastAsia"/>
                <w:color w:val="auto"/>
                <w:sz w:val="24"/>
                <w:szCs w:val="24"/>
                <w:highlight w:val="none"/>
                <w:lang w:val="en-US" w:eastAsia="zh-CN"/>
              </w:rPr>
              <w:t>物资</w:t>
            </w:r>
            <w:r>
              <w:rPr>
                <w:color w:val="auto"/>
                <w:sz w:val="24"/>
                <w:szCs w:val="24"/>
                <w:highlight w:val="none"/>
              </w:rPr>
              <w:t>装备计划情况。包括：工作服装、工具、劳保用品等。</w:t>
            </w:r>
          </w:p>
          <w:p w14:paraId="12D89F56">
            <w:pPr>
              <w:spacing w:line="360" w:lineRule="auto"/>
              <w:jc w:val="left"/>
              <w:rPr>
                <w:color w:val="auto"/>
                <w:sz w:val="24"/>
                <w:szCs w:val="24"/>
                <w:highlight w:val="none"/>
              </w:rPr>
            </w:pPr>
            <w:r>
              <w:rPr>
                <w:color w:val="auto"/>
                <w:sz w:val="24"/>
                <w:szCs w:val="24"/>
                <w:highlight w:val="none"/>
              </w:rPr>
              <w:t>6</w:t>
            </w:r>
            <w:r>
              <w:rPr>
                <w:rFonts w:hint="eastAsia"/>
                <w:color w:val="auto"/>
                <w:sz w:val="24"/>
                <w:szCs w:val="24"/>
                <w:highlight w:val="none"/>
                <w:lang w:eastAsia="zh-CN"/>
              </w:rPr>
              <w:t>、</w:t>
            </w:r>
            <w:r>
              <w:rPr>
                <w:color w:val="auto"/>
                <w:sz w:val="24"/>
                <w:szCs w:val="24"/>
                <w:highlight w:val="none"/>
              </w:rPr>
              <w:t>管理规章制度。包括：单位内部岗位责任制、保洁运作管理制度和作业人员考核制度。</w:t>
            </w:r>
          </w:p>
          <w:p w14:paraId="139D6190">
            <w:pPr>
              <w:spacing w:line="360" w:lineRule="auto"/>
              <w:jc w:val="left"/>
              <w:rPr>
                <w:color w:val="auto"/>
                <w:sz w:val="24"/>
                <w:szCs w:val="24"/>
                <w:highlight w:val="none"/>
              </w:rPr>
            </w:pPr>
            <w:r>
              <w:rPr>
                <w:color w:val="auto"/>
                <w:sz w:val="24"/>
                <w:szCs w:val="24"/>
                <w:highlight w:val="none"/>
              </w:rPr>
              <w:t>7</w:t>
            </w:r>
            <w:r>
              <w:rPr>
                <w:rFonts w:hint="eastAsia"/>
                <w:color w:val="auto"/>
                <w:sz w:val="24"/>
                <w:szCs w:val="24"/>
                <w:highlight w:val="none"/>
                <w:lang w:eastAsia="zh-CN"/>
              </w:rPr>
              <w:t>、</w:t>
            </w:r>
            <w:r>
              <w:rPr>
                <w:color w:val="auto"/>
                <w:sz w:val="24"/>
                <w:szCs w:val="24"/>
                <w:highlight w:val="none"/>
              </w:rPr>
              <w:t>档案的建立与管理。</w:t>
            </w:r>
          </w:p>
          <w:p w14:paraId="6EFE4DFB">
            <w:pPr>
              <w:spacing w:line="360" w:lineRule="auto"/>
              <w:jc w:val="left"/>
              <w:rPr>
                <w:color w:val="auto"/>
                <w:sz w:val="24"/>
                <w:szCs w:val="24"/>
                <w:highlight w:val="none"/>
              </w:rPr>
            </w:pPr>
            <w:r>
              <w:rPr>
                <w:color w:val="auto"/>
                <w:sz w:val="24"/>
                <w:szCs w:val="24"/>
                <w:highlight w:val="none"/>
              </w:rPr>
              <w:t>8</w:t>
            </w:r>
            <w:r>
              <w:rPr>
                <w:rFonts w:hint="eastAsia"/>
                <w:color w:val="auto"/>
                <w:sz w:val="24"/>
                <w:szCs w:val="24"/>
                <w:highlight w:val="none"/>
                <w:lang w:eastAsia="zh-CN"/>
              </w:rPr>
              <w:t>、</w:t>
            </w:r>
            <w:r>
              <w:rPr>
                <w:color w:val="auto"/>
                <w:sz w:val="24"/>
                <w:szCs w:val="24"/>
                <w:highlight w:val="none"/>
              </w:rPr>
              <w:t>各项作业指标的承诺。</w:t>
            </w:r>
          </w:p>
        </w:tc>
      </w:tr>
      <w:tr w14:paraId="3F8F8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E60E16D">
            <w:pPr>
              <w:spacing w:line="360" w:lineRule="auto"/>
              <w:rPr>
                <w:color w:val="auto"/>
                <w:sz w:val="24"/>
                <w:szCs w:val="24"/>
                <w:highlight w:val="none"/>
              </w:rPr>
            </w:pPr>
            <w:r>
              <w:rPr>
                <w:color w:val="auto"/>
                <w:sz w:val="24"/>
                <w:szCs w:val="24"/>
                <w:highlight w:val="none"/>
              </w:rPr>
              <w:t>说明</w:t>
            </w:r>
          </w:p>
        </w:tc>
        <w:tc>
          <w:tcPr>
            <w:tcW w:w="8782" w:type="dxa"/>
            <w:gridSpan w:val="2"/>
          </w:tcPr>
          <w:p w14:paraId="167E7CA4">
            <w:pPr>
              <w:spacing w:line="360" w:lineRule="auto"/>
              <w:jc w:val="left"/>
              <w:rPr>
                <w:color w:val="auto"/>
                <w:sz w:val="24"/>
                <w:szCs w:val="24"/>
                <w:highlight w:val="none"/>
              </w:rPr>
            </w:pPr>
            <w:r>
              <w:rPr>
                <w:color w:val="auto"/>
                <w:sz w:val="24"/>
                <w:szCs w:val="24"/>
                <w:highlight w:val="none"/>
              </w:rPr>
              <w:t>打“★”号条款为实质性条款，若有任何一条负偏离或不满足则导致投标无效。</w:t>
            </w:r>
            <w:r>
              <w:rPr>
                <w:color w:val="auto"/>
                <w:sz w:val="24"/>
                <w:szCs w:val="24"/>
                <w:highlight w:val="none"/>
              </w:rPr>
              <w:br w:type="textWrapping"/>
            </w:r>
            <w:r>
              <w:rPr>
                <w:color w:val="auto"/>
                <w:sz w:val="24"/>
                <w:szCs w:val="24"/>
                <w:highlight w:val="none"/>
              </w:rPr>
              <w:t>打“▲”号条款为重要技术参数，若有部分“▲”条款未响应或不满足，将导致其响应性评审加重扣分，但不作为无效投标条款。</w:t>
            </w:r>
          </w:p>
        </w:tc>
      </w:tr>
    </w:tbl>
    <w:p w14:paraId="332EFE72">
      <w:pPr>
        <w:spacing w:line="360" w:lineRule="auto"/>
        <w:rPr>
          <w:color w:val="auto"/>
          <w:sz w:val="24"/>
          <w:szCs w:val="24"/>
          <w:highlight w:val="none"/>
        </w:rPr>
      </w:pPr>
    </w:p>
    <w:p w14:paraId="38943C97">
      <w:pPr>
        <w:spacing w:line="360" w:lineRule="auto"/>
        <w:rPr>
          <w:color w:val="auto"/>
          <w:sz w:val="24"/>
          <w:szCs w:val="24"/>
          <w:highlight w:val="none"/>
        </w:rPr>
      </w:pPr>
    </w:p>
    <w:p w14:paraId="3E0741C2">
      <w:pPr>
        <w:spacing w:line="360" w:lineRule="auto"/>
        <w:rPr>
          <w:color w:val="auto"/>
          <w:sz w:val="24"/>
          <w:szCs w:val="24"/>
          <w:highlight w:val="none"/>
        </w:rPr>
      </w:pPr>
    </w:p>
    <w:p w14:paraId="33634C8E">
      <w:pPr>
        <w:spacing w:line="360" w:lineRule="auto"/>
        <w:rPr>
          <w:rFonts w:hint="eastAsia" w:eastAsiaTheme="minorEastAsia"/>
          <w:color w:val="auto"/>
          <w:sz w:val="24"/>
          <w:szCs w:val="24"/>
          <w:highlight w:val="none"/>
          <w:lang w:eastAsia="zh-CN"/>
        </w:rPr>
      </w:pPr>
    </w:p>
    <w:p w14:paraId="0C266792">
      <w:pPr>
        <w:rPr>
          <w:color w:val="auto"/>
          <w:highlight w:val="none"/>
        </w:rPr>
      </w:pPr>
    </w:p>
    <w:p w14:paraId="2F534D74">
      <w:pPr>
        <w:spacing w:line="360" w:lineRule="auto"/>
        <w:rPr>
          <w:rFonts w:hint="eastAsia" w:eastAsiaTheme="minorEastAsia"/>
          <w:color w:val="auto"/>
          <w:sz w:val="24"/>
          <w:szCs w:val="24"/>
          <w:highlight w:val="none"/>
          <w:lang w:eastAsia="zh-CN"/>
        </w:rPr>
      </w:pPr>
    </w:p>
    <w:p w14:paraId="51A66FDC">
      <w:pPr>
        <w:rPr>
          <w:color w:val="auto"/>
          <w:highlight w:val="none"/>
        </w:rPr>
      </w:pPr>
    </w:p>
    <w:p w14:paraId="0D734101">
      <w:pPr>
        <w:spacing w:line="360" w:lineRule="auto"/>
        <w:rPr>
          <w:rFonts w:hint="eastAsia" w:eastAsiaTheme="minorEastAsia"/>
          <w:color w:val="auto"/>
          <w:sz w:val="24"/>
          <w:szCs w:val="24"/>
          <w:highlight w:val="none"/>
          <w:lang w:eastAsia="zh-CN"/>
        </w:rPr>
      </w:pPr>
    </w:p>
    <w:p w14:paraId="4ECC07BB">
      <w:pPr>
        <w:rPr>
          <w:color w:val="auto"/>
          <w:highlight w:val="none"/>
        </w:rPr>
      </w:pPr>
    </w:p>
    <w:p w14:paraId="3072815D">
      <w:pPr>
        <w:spacing w:line="360" w:lineRule="auto"/>
        <w:rPr>
          <w:color w:val="auto"/>
          <w:sz w:val="24"/>
          <w:szCs w:val="24"/>
          <w:highlight w:val="none"/>
        </w:rPr>
      </w:pPr>
    </w:p>
    <w:p w14:paraId="1AC12F3E">
      <w:pPr>
        <w:spacing w:line="360" w:lineRule="auto"/>
        <w:rPr>
          <w:rFonts w:hint="eastAsia" w:eastAsiaTheme="minorEastAsia"/>
          <w:color w:val="auto"/>
          <w:sz w:val="24"/>
          <w:szCs w:val="24"/>
          <w:highlight w:val="none"/>
          <w:lang w:eastAsia="zh-CN"/>
        </w:rPr>
      </w:pPr>
    </w:p>
    <w:p w14:paraId="35866FB8">
      <w:pPr>
        <w:pStyle w:val="5"/>
        <w:numPr>
          <w:ilvl w:val="0"/>
          <w:numId w:val="0"/>
        </w:numPr>
        <w:spacing w:line="360" w:lineRule="auto"/>
        <w:outlineLvl w:val="1"/>
        <w:rPr>
          <w:rFonts w:hint="eastAsia" w:ascii="仿宋" w:hAnsi="仿宋" w:eastAsia="仿宋" w:cs="仿宋"/>
          <w:b/>
          <w:bCs/>
          <w:color w:val="auto"/>
          <w:highlight w:val="none"/>
          <w:lang w:val="en-US" w:eastAsia="zh-CN"/>
        </w:rPr>
      </w:pPr>
    </w:p>
    <w:sectPr>
      <w:footerReference r:id="rId7" w:type="default"/>
      <w:pgSz w:w="11906" w:h="16838"/>
      <w:pgMar w:top="1070" w:right="756" w:bottom="1688"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F6BC">
    <w:pPr>
      <w:pStyle w:val="9"/>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AE09">
                          <w:pPr>
                            <w:pStyle w:val="9"/>
                            <w:rPr>
                              <w:rStyle w:val="16"/>
                              <w:rFonts w:hint="eastAsia" w:ascii="宋体" w:hAnsi="宋体" w:cs="宋体"/>
                            </w:rPr>
                          </w:pPr>
                          <w:r>
                            <w:rPr>
                              <w:rStyle w:val="16"/>
                              <w:rFonts w:hint="eastAsia" w:ascii="宋体" w:hAnsi="宋体" w:cs="宋体"/>
                            </w:rPr>
                            <w:fldChar w:fldCharType="begin"/>
                          </w:r>
                          <w:r>
                            <w:rPr>
                              <w:rStyle w:val="16"/>
                              <w:rFonts w:hint="eastAsia" w:ascii="宋体" w:hAnsi="宋体" w:cs="宋体"/>
                            </w:rPr>
                            <w:instrText xml:space="preserve"> PAGE  \* MERGEFORMAT </w:instrText>
                          </w:r>
                          <w:r>
                            <w:rPr>
                              <w:rStyle w:val="16"/>
                              <w:rFonts w:hint="eastAsia" w:ascii="宋体" w:hAnsi="宋体" w:cs="宋体"/>
                            </w:rPr>
                            <w:fldChar w:fldCharType="separate"/>
                          </w:r>
                          <w:r>
                            <w:rPr>
                              <w:rStyle w:val="16"/>
                              <w:rFonts w:hint="eastAsia" w:ascii="宋体" w:hAnsi="宋体" w:cs="宋体"/>
                            </w:rPr>
                            <w:t>2</w:t>
                          </w:r>
                          <w:r>
                            <w:rPr>
                              <w:rStyle w:val="16"/>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3AE09">
                    <w:pPr>
                      <w:pStyle w:val="9"/>
                      <w:rPr>
                        <w:rStyle w:val="16"/>
                        <w:rFonts w:hint="eastAsia" w:ascii="宋体" w:hAnsi="宋体" w:cs="宋体"/>
                      </w:rPr>
                    </w:pPr>
                    <w:r>
                      <w:rPr>
                        <w:rStyle w:val="16"/>
                        <w:rFonts w:hint="eastAsia" w:ascii="宋体" w:hAnsi="宋体" w:cs="宋体"/>
                      </w:rPr>
                      <w:fldChar w:fldCharType="begin"/>
                    </w:r>
                    <w:r>
                      <w:rPr>
                        <w:rStyle w:val="16"/>
                        <w:rFonts w:hint="eastAsia" w:ascii="宋体" w:hAnsi="宋体" w:cs="宋体"/>
                      </w:rPr>
                      <w:instrText xml:space="preserve"> PAGE  \* MERGEFORMAT </w:instrText>
                    </w:r>
                    <w:r>
                      <w:rPr>
                        <w:rStyle w:val="16"/>
                        <w:rFonts w:hint="eastAsia" w:ascii="宋体" w:hAnsi="宋体" w:cs="宋体"/>
                      </w:rPr>
                      <w:fldChar w:fldCharType="separate"/>
                    </w:r>
                    <w:r>
                      <w:rPr>
                        <w:rStyle w:val="16"/>
                        <w:rFonts w:hint="eastAsia" w:ascii="宋体" w:hAnsi="宋体" w:cs="宋体"/>
                      </w:rPr>
                      <w:t>2</w:t>
                    </w:r>
                    <w:r>
                      <w:rPr>
                        <w:rStyle w:val="16"/>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6D84">
    <w:pPr>
      <w:pStyle w:val="9"/>
      <w:framePr w:wrap="around" w:vAnchor="text" w:hAnchor="margin" w:xAlign="center" w:y="1"/>
      <w:rPr>
        <w:rStyle w:val="16"/>
      </w:rPr>
    </w:pPr>
    <w:r>
      <w:fldChar w:fldCharType="begin"/>
    </w:r>
    <w:r>
      <w:rPr>
        <w:rStyle w:val="16"/>
      </w:rPr>
      <w:instrText xml:space="preserve">PAGE  </w:instrText>
    </w:r>
    <w:r>
      <w:fldChar w:fldCharType="end"/>
    </w:r>
  </w:p>
  <w:p w14:paraId="4D3B334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3473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97D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1097D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E0CD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1B5A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A1B5A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129D">
    <w:pPr>
      <w:pStyle w:val="10"/>
      <w:pBdr>
        <w:top w:val="none" w:color="auto" w:sz="0" w:space="0"/>
        <w:left w:val="none" w:color="auto" w:sz="0" w:space="0"/>
        <w:bottom w:val="none" w:color="auto" w:sz="0" w:space="1"/>
        <w:right w:val="none" w:color="auto" w:sz="0" w:space="0"/>
        <w:between w:val="none" w:color="auto" w:sz="0" w:space="0"/>
      </w:pBdr>
      <w:ind w:firstLine="90" w:firstLineChars="50"/>
      <w:jc w:val="both"/>
    </w:pPr>
    <w:r>
      <w:rPr>
        <w:rFonts w:hint="eastAsia"/>
        <w:color w:val="000000"/>
      </w:rPr>
      <w:t xml:space="preserve">                                                             </w:t>
    </w:r>
    <w:r>
      <w:rPr>
        <w:rFonts w:hint="eastAsia"/>
        <w:color w:val="000000"/>
        <w:lang w:val="en-US" w:eastAsia="zh-CN"/>
      </w:rPr>
      <w:t xml:space="preserve">                    </w:t>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64A4DA"/>
    <w:multiLevelType w:val="singleLevel"/>
    <w:tmpl w:val="3364A4DA"/>
    <w:lvl w:ilvl="0" w:tentative="0">
      <w:start w:val="1"/>
      <w:numFmt w:val="decimal"/>
      <w:suff w:val="nothing"/>
      <w:lvlText w:val="%1、"/>
      <w:lvlJc w:val="left"/>
    </w:lvl>
  </w:abstractNum>
  <w:abstractNum w:abstractNumId="2">
    <w:nsid w:val="7C4C01CE"/>
    <w:multiLevelType w:val="singleLevel"/>
    <w:tmpl w:val="7C4C01CE"/>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TU0MDUzYjI0YzY2NzEwYWFiYjliMDRmOWI5NGIifQ=="/>
  </w:docVars>
  <w:rsids>
    <w:rsidRoot w:val="763020FC"/>
    <w:rsid w:val="001540FD"/>
    <w:rsid w:val="00501F31"/>
    <w:rsid w:val="006B31C3"/>
    <w:rsid w:val="00814795"/>
    <w:rsid w:val="00E54D24"/>
    <w:rsid w:val="010417B4"/>
    <w:rsid w:val="01494A14"/>
    <w:rsid w:val="017D1D32"/>
    <w:rsid w:val="01FF44FD"/>
    <w:rsid w:val="020A5A80"/>
    <w:rsid w:val="0397583F"/>
    <w:rsid w:val="045521C0"/>
    <w:rsid w:val="0479711E"/>
    <w:rsid w:val="04BE0603"/>
    <w:rsid w:val="05171224"/>
    <w:rsid w:val="05C21635"/>
    <w:rsid w:val="062E17BA"/>
    <w:rsid w:val="0639519A"/>
    <w:rsid w:val="063C4A85"/>
    <w:rsid w:val="07E21FBD"/>
    <w:rsid w:val="0878647D"/>
    <w:rsid w:val="08B55745"/>
    <w:rsid w:val="0BDF7D2F"/>
    <w:rsid w:val="0BFD1189"/>
    <w:rsid w:val="0C014064"/>
    <w:rsid w:val="0C3B39C5"/>
    <w:rsid w:val="0CE045F1"/>
    <w:rsid w:val="0D630EEC"/>
    <w:rsid w:val="0D7D62E4"/>
    <w:rsid w:val="10113A4B"/>
    <w:rsid w:val="102F7D69"/>
    <w:rsid w:val="10494F08"/>
    <w:rsid w:val="114A6C7D"/>
    <w:rsid w:val="11E76422"/>
    <w:rsid w:val="124E024F"/>
    <w:rsid w:val="1271712D"/>
    <w:rsid w:val="13364ADB"/>
    <w:rsid w:val="133C1159"/>
    <w:rsid w:val="1418307A"/>
    <w:rsid w:val="1555257F"/>
    <w:rsid w:val="160475A2"/>
    <w:rsid w:val="17153FB3"/>
    <w:rsid w:val="181F0070"/>
    <w:rsid w:val="18B25D13"/>
    <w:rsid w:val="19257A2C"/>
    <w:rsid w:val="197E58BE"/>
    <w:rsid w:val="19BA109B"/>
    <w:rsid w:val="19FB0ACF"/>
    <w:rsid w:val="1A58651E"/>
    <w:rsid w:val="1ABA46D4"/>
    <w:rsid w:val="1C073948"/>
    <w:rsid w:val="1C297D63"/>
    <w:rsid w:val="1C5841A4"/>
    <w:rsid w:val="1C7554C7"/>
    <w:rsid w:val="1D6510BC"/>
    <w:rsid w:val="1D90574D"/>
    <w:rsid w:val="1E3C6CD1"/>
    <w:rsid w:val="1E557E8B"/>
    <w:rsid w:val="1E5C3483"/>
    <w:rsid w:val="1EF81C6E"/>
    <w:rsid w:val="1F5844BB"/>
    <w:rsid w:val="20580C17"/>
    <w:rsid w:val="20B133A6"/>
    <w:rsid w:val="227C6712"/>
    <w:rsid w:val="22A27406"/>
    <w:rsid w:val="22DF35B6"/>
    <w:rsid w:val="230D0F89"/>
    <w:rsid w:val="2360444C"/>
    <w:rsid w:val="23A27EF0"/>
    <w:rsid w:val="240F3CE2"/>
    <w:rsid w:val="241E5CD3"/>
    <w:rsid w:val="245C04B2"/>
    <w:rsid w:val="25352820"/>
    <w:rsid w:val="257541C8"/>
    <w:rsid w:val="26507DAF"/>
    <w:rsid w:val="27B22F47"/>
    <w:rsid w:val="2813288D"/>
    <w:rsid w:val="285236EF"/>
    <w:rsid w:val="290A3A58"/>
    <w:rsid w:val="292F0349"/>
    <w:rsid w:val="2ACA0963"/>
    <w:rsid w:val="2B0160BD"/>
    <w:rsid w:val="2B6C0686"/>
    <w:rsid w:val="2BD63337"/>
    <w:rsid w:val="2C385DA0"/>
    <w:rsid w:val="2C5A5D16"/>
    <w:rsid w:val="2D0068BE"/>
    <w:rsid w:val="2D123224"/>
    <w:rsid w:val="2D7C3237"/>
    <w:rsid w:val="2DB540BA"/>
    <w:rsid w:val="2ED77542"/>
    <w:rsid w:val="2EE6563F"/>
    <w:rsid w:val="2F671E9A"/>
    <w:rsid w:val="2FED2197"/>
    <w:rsid w:val="3004447C"/>
    <w:rsid w:val="30161F54"/>
    <w:rsid w:val="3039485F"/>
    <w:rsid w:val="30B06649"/>
    <w:rsid w:val="31D200FD"/>
    <w:rsid w:val="31E96DF5"/>
    <w:rsid w:val="322744DF"/>
    <w:rsid w:val="326561E5"/>
    <w:rsid w:val="32737B32"/>
    <w:rsid w:val="329B3CF0"/>
    <w:rsid w:val="32BA1A94"/>
    <w:rsid w:val="32BF28E2"/>
    <w:rsid w:val="32EB1476"/>
    <w:rsid w:val="33B737C7"/>
    <w:rsid w:val="33F6235B"/>
    <w:rsid w:val="34BE6A91"/>
    <w:rsid w:val="34F5482E"/>
    <w:rsid w:val="350B338A"/>
    <w:rsid w:val="351B084A"/>
    <w:rsid w:val="35E11E09"/>
    <w:rsid w:val="36DE12F2"/>
    <w:rsid w:val="37616702"/>
    <w:rsid w:val="37A60062"/>
    <w:rsid w:val="38721444"/>
    <w:rsid w:val="39B10D81"/>
    <w:rsid w:val="3A44348B"/>
    <w:rsid w:val="3A7C154E"/>
    <w:rsid w:val="3AE25855"/>
    <w:rsid w:val="3B773963"/>
    <w:rsid w:val="3B9776A5"/>
    <w:rsid w:val="3BF26170"/>
    <w:rsid w:val="3CDC78A0"/>
    <w:rsid w:val="3CE63072"/>
    <w:rsid w:val="3D1F7830"/>
    <w:rsid w:val="3D880CE7"/>
    <w:rsid w:val="3D95451F"/>
    <w:rsid w:val="3DBA6615"/>
    <w:rsid w:val="3DE324A9"/>
    <w:rsid w:val="3E5325C6"/>
    <w:rsid w:val="3E7D3710"/>
    <w:rsid w:val="3ECB6600"/>
    <w:rsid w:val="3EEE6BF4"/>
    <w:rsid w:val="3F6A1D1A"/>
    <w:rsid w:val="3FE565F8"/>
    <w:rsid w:val="40047AC2"/>
    <w:rsid w:val="40714F85"/>
    <w:rsid w:val="40A84F10"/>
    <w:rsid w:val="41B53A78"/>
    <w:rsid w:val="41FD11C6"/>
    <w:rsid w:val="422E7D02"/>
    <w:rsid w:val="429C7A5A"/>
    <w:rsid w:val="42D53EF1"/>
    <w:rsid w:val="43CD3C82"/>
    <w:rsid w:val="443F77BC"/>
    <w:rsid w:val="44536279"/>
    <w:rsid w:val="45E5269D"/>
    <w:rsid w:val="466F1F67"/>
    <w:rsid w:val="470E5A44"/>
    <w:rsid w:val="47112FCA"/>
    <w:rsid w:val="4739610D"/>
    <w:rsid w:val="47C12462"/>
    <w:rsid w:val="47FF4E17"/>
    <w:rsid w:val="482A25E9"/>
    <w:rsid w:val="48AE23BB"/>
    <w:rsid w:val="48B92780"/>
    <w:rsid w:val="49227764"/>
    <w:rsid w:val="49D942C7"/>
    <w:rsid w:val="49FD7D3F"/>
    <w:rsid w:val="4A1C33AB"/>
    <w:rsid w:val="4AF01D5C"/>
    <w:rsid w:val="4BB5041C"/>
    <w:rsid w:val="4BBC22B2"/>
    <w:rsid w:val="4BEF1B80"/>
    <w:rsid w:val="4C6A7458"/>
    <w:rsid w:val="4CF40B17"/>
    <w:rsid w:val="4D2A47B7"/>
    <w:rsid w:val="4D2D62FF"/>
    <w:rsid w:val="4D496F19"/>
    <w:rsid w:val="4D692663"/>
    <w:rsid w:val="4D974768"/>
    <w:rsid w:val="4E40451F"/>
    <w:rsid w:val="4E9D295D"/>
    <w:rsid w:val="4EB63F02"/>
    <w:rsid w:val="4F2064F4"/>
    <w:rsid w:val="4F967ABB"/>
    <w:rsid w:val="4FB52C2C"/>
    <w:rsid w:val="50772144"/>
    <w:rsid w:val="50C07717"/>
    <w:rsid w:val="511B3845"/>
    <w:rsid w:val="519109C4"/>
    <w:rsid w:val="51C94C21"/>
    <w:rsid w:val="51E24D55"/>
    <w:rsid w:val="51E4139D"/>
    <w:rsid w:val="52526DB0"/>
    <w:rsid w:val="52707792"/>
    <w:rsid w:val="52760316"/>
    <w:rsid w:val="536B6A5E"/>
    <w:rsid w:val="53C17C32"/>
    <w:rsid w:val="545F7ABE"/>
    <w:rsid w:val="5487404B"/>
    <w:rsid w:val="54901A26"/>
    <w:rsid w:val="54CC112B"/>
    <w:rsid w:val="54E456B1"/>
    <w:rsid w:val="55004DFD"/>
    <w:rsid w:val="55381A83"/>
    <w:rsid w:val="55446C6B"/>
    <w:rsid w:val="558D3D88"/>
    <w:rsid w:val="565E452F"/>
    <w:rsid w:val="565F5B54"/>
    <w:rsid w:val="56672E63"/>
    <w:rsid w:val="56EB3201"/>
    <w:rsid w:val="56F42740"/>
    <w:rsid w:val="579655A5"/>
    <w:rsid w:val="57D4264D"/>
    <w:rsid w:val="58B00A59"/>
    <w:rsid w:val="595474C6"/>
    <w:rsid w:val="59A04581"/>
    <w:rsid w:val="59FB5B93"/>
    <w:rsid w:val="5A040EEC"/>
    <w:rsid w:val="5AD65967"/>
    <w:rsid w:val="5AFF3461"/>
    <w:rsid w:val="5B922527"/>
    <w:rsid w:val="5B9C6F02"/>
    <w:rsid w:val="5BB57FC4"/>
    <w:rsid w:val="5C961BA3"/>
    <w:rsid w:val="5CE32DCE"/>
    <w:rsid w:val="5CE879B4"/>
    <w:rsid w:val="5D192F00"/>
    <w:rsid w:val="5D553F98"/>
    <w:rsid w:val="5D81328C"/>
    <w:rsid w:val="5DCD7004"/>
    <w:rsid w:val="5DD97537"/>
    <w:rsid w:val="5DEC23C3"/>
    <w:rsid w:val="5F0A6331"/>
    <w:rsid w:val="5F7543AD"/>
    <w:rsid w:val="5FE62E42"/>
    <w:rsid w:val="604946EA"/>
    <w:rsid w:val="60D20C8C"/>
    <w:rsid w:val="613148E1"/>
    <w:rsid w:val="61396238"/>
    <w:rsid w:val="61FE26C5"/>
    <w:rsid w:val="62C2470D"/>
    <w:rsid w:val="649410BE"/>
    <w:rsid w:val="659B022A"/>
    <w:rsid w:val="65EB379F"/>
    <w:rsid w:val="66B52F4C"/>
    <w:rsid w:val="66ED4AB6"/>
    <w:rsid w:val="673152EA"/>
    <w:rsid w:val="673C0291"/>
    <w:rsid w:val="68330BEE"/>
    <w:rsid w:val="69044959"/>
    <w:rsid w:val="6A072AD7"/>
    <w:rsid w:val="6AF84277"/>
    <w:rsid w:val="6BA51104"/>
    <w:rsid w:val="6D176D30"/>
    <w:rsid w:val="6D925458"/>
    <w:rsid w:val="6EDB7E4B"/>
    <w:rsid w:val="6FC76C7B"/>
    <w:rsid w:val="70673B2B"/>
    <w:rsid w:val="70A00DEB"/>
    <w:rsid w:val="71152FA6"/>
    <w:rsid w:val="714D1ABA"/>
    <w:rsid w:val="73BF36C6"/>
    <w:rsid w:val="73FC4E59"/>
    <w:rsid w:val="751D2A0A"/>
    <w:rsid w:val="75396E97"/>
    <w:rsid w:val="763020FC"/>
    <w:rsid w:val="76EC2FDC"/>
    <w:rsid w:val="773768C0"/>
    <w:rsid w:val="774C686A"/>
    <w:rsid w:val="77955421"/>
    <w:rsid w:val="77FA34D6"/>
    <w:rsid w:val="77FD5AF4"/>
    <w:rsid w:val="78F11590"/>
    <w:rsid w:val="79030169"/>
    <w:rsid w:val="79800E71"/>
    <w:rsid w:val="799D45A6"/>
    <w:rsid w:val="79C3347E"/>
    <w:rsid w:val="7A2D3989"/>
    <w:rsid w:val="7A6738AD"/>
    <w:rsid w:val="7B1D7C08"/>
    <w:rsid w:val="7B937ECA"/>
    <w:rsid w:val="7BFA5C64"/>
    <w:rsid w:val="7CA75F80"/>
    <w:rsid w:val="7D1B7141"/>
    <w:rsid w:val="7EF8277F"/>
    <w:rsid w:val="7F476E58"/>
    <w:rsid w:val="7F6C2F0C"/>
    <w:rsid w:val="7FED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ind w:right="-441" w:rightChars="-209"/>
      <w:jc w:val="center"/>
      <w:outlineLvl w:val="0"/>
    </w:pPr>
    <w:rPr>
      <w:rFonts w:ascii="宋体" w:hAnsi="宋体"/>
      <w:b/>
      <w:kern w:val="0"/>
      <w:sz w:val="48"/>
    </w:rPr>
  </w:style>
  <w:style w:type="paragraph" w:styleId="3">
    <w:name w:val="heading 3"/>
    <w:basedOn w:val="1"/>
    <w:next w:val="1"/>
    <w:autoRedefine/>
    <w:qFormat/>
    <w:uiPriority w:val="9"/>
    <w:pPr>
      <w:keepNext/>
      <w:keepLines/>
      <w:spacing w:before="260" w:after="260" w:line="416" w:lineRule="auto"/>
      <w:outlineLvl w:val="2"/>
    </w:pPr>
    <w:rPr>
      <w:rFonts w:ascii="等线" w:hAnsi="等线" w:eastAsia="等线"/>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ind w:firstLine="420"/>
    </w:pPr>
    <w:rPr>
      <w:rFonts w:eastAsia="仿宋_GB2312"/>
      <w:sz w:val="30"/>
      <w:szCs w:val="20"/>
    </w:rPr>
  </w:style>
  <w:style w:type="paragraph" w:styleId="5">
    <w:name w:val="Body Text"/>
    <w:basedOn w:val="1"/>
    <w:autoRedefine/>
    <w:qFormat/>
    <w:uiPriority w:val="0"/>
    <w:rPr>
      <w:sz w:val="24"/>
    </w:rPr>
  </w:style>
  <w:style w:type="paragraph" w:styleId="6">
    <w:name w:val="Body Text Indent"/>
    <w:basedOn w:val="1"/>
    <w:autoRedefine/>
    <w:qFormat/>
    <w:uiPriority w:val="0"/>
    <w:pPr>
      <w:ind w:firstLine="570"/>
    </w:pPr>
    <w:rPr>
      <w:rFonts w:ascii="宋体" w:hAnsi="宋体"/>
      <w:sz w:val="28"/>
      <w:szCs w:val="20"/>
    </w:rPr>
  </w:style>
  <w:style w:type="paragraph" w:styleId="7">
    <w:name w:val="Plain Text"/>
    <w:basedOn w:val="1"/>
    <w:autoRedefine/>
    <w:qFormat/>
    <w:uiPriority w:val="0"/>
    <w:rPr>
      <w:rFonts w:ascii="宋体" w:hAnsi="Courier New"/>
      <w:szCs w:val="20"/>
    </w:rPr>
  </w:style>
  <w:style w:type="paragraph" w:styleId="8">
    <w:name w:val="Body Text Indent 2"/>
    <w:basedOn w:val="1"/>
    <w:autoRedefine/>
    <w:qFormat/>
    <w:uiPriority w:val="0"/>
    <w:pPr>
      <w:widowControl/>
      <w:spacing w:line="300" w:lineRule="auto"/>
      <w:ind w:firstLine="480" w:firstLineChars="200"/>
      <w:jc w:val="left"/>
    </w:pPr>
    <w:rPr>
      <w:rFonts w:ascii="宋体"/>
      <w:color w:val="000000"/>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rPr>
      <w:rFonts w:ascii="Calibri" w:hAnsi="Calibri" w:eastAsia="宋体" w:cs="Times New Roman"/>
    </w:rPr>
  </w:style>
  <w:style w:type="paragraph" w:styleId="12">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style>
  <w:style w:type="paragraph" w:customStyle="1" w:styleId="17">
    <w:name w:val="表格文字"/>
    <w:basedOn w:val="1"/>
    <w:autoRedefine/>
    <w:qFormat/>
    <w:uiPriority w:val="0"/>
    <w:pPr>
      <w:spacing w:before="25" w:after="25"/>
      <w:jc w:val="left"/>
    </w:pPr>
    <w:rPr>
      <w:bCs/>
      <w:spacing w:val="10"/>
      <w:kern w:val="0"/>
      <w:sz w:val="24"/>
      <w:szCs w:val="20"/>
    </w:rPr>
  </w:style>
  <w:style w:type="paragraph" w:styleId="18">
    <w:name w:val="List Paragraph"/>
    <w:basedOn w:val="1"/>
    <w:autoRedefine/>
    <w:qFormat/>
    <w:uiPriority w:val="34"/>
    <w:pPr>
      <w:widowControl/>
      <w:ind w:firstLine="420" w:firstLineChars="200"/>
      <w:jc w:val="left"/>
    </w:pPr>
    <w:rPr>
      <w:kern w:val="0"/>
      <w:sz w:val="20"/>
      <w:szCs w:val="20"/>
    </w:rPr>
  </w:style>
  <w:style w:type="paragraph" w:customStyle="1" w:styleId="19">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20">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21">
    <w:name w:val="NormalCharacter"/>
    <w:autoRedefine/>
    <w:semiHidden/>
    <w:qFormat/>
    <w:uiPriority w:val="0"/>
    <w:rPr>
      <w:kern w:val="2"/>
      <w:sz w:val="21"/>
      <w:szCs w:val="24"/>
      <w:lang w:val="en-US" w:eastAsia="zh-CN" w:bidi="ar-SA"/>
    </w:rPr>
  </w:style>
  <w:style w:type="character" w:customStyle="1" w:styleId="22">
    <w:name w:val="font11"/>
    <w:basedOn w:val="15"/>
    <w:autoRedefine/>
    <w:qFormat/>
    <w:uiPriority w:val="0"/>
    <w:rPr>
      <w:rFonts w:hint="eastAsia" w:ascii="宋体" w:hAnsi="宋体" w:eastAsia="宋体" w:cs="宋体"/>
      <w:color w:val="000000"/>
      <w:sz w:val="20"/>
      <w:szCs w:val="20"/>
      <w:u w:val="none"/>
    </w:rPr>
  </w:style>
  <w:style w:type="character" w:customStyle="1" w:styleId="23">
    <w:name w:val="font21"/>
    <w:basedOn w:val="15"/>
    <w:autoRedefine/>
    <w:qFormat/>
    <w:uiPriority w:val="0"/>
    <w:rPr>
      <w:rFonts w:hint="eastAsia" w:ascii="宋体" w:hAnsi="宋体" w:eastAsia="宋体" w:cs="宋体"/>
      <w:color w:val="000000"/>
      <w:sz w:val="20"/>
      <w:szCs w:val="20"/>
      <w:u w:val="none"/>
    </w:rPr>
  </w:style>
  <w:style w:type="character" w:customStyle="1" w:styleId="24">
    <w:name w:val="font31"/>
    <w:basedOn w:val="15"/>
    <w:autoRedefine/>
    <w:qFormat/>
    <w:uiPriority w:val="0"/>
    <w:rPr>
      <w:rFonts w:hint="eastAsia" w:ascii="宋体" w:hAnsi="宋体" w:eastAsia="宋体" w:cs="宋体"/>
      <w:color w:val="000000"/>
      <w:sz w:val="20"/>
      <w:szCs w:val="20"/>
      <w:u w:val="none"/>
    </w:r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3470</Words>
  <Characters>3631</Characters>
  <Lines>0</Lines>
  <Paragraphs>0</Paragraphs>
  <TotalTime>16</TotalTime>
  <ScaleCrop>false</ScaleCrop>
  <LinksUpToDate>false</LinksUpToDate>
  <CharactersWithSpaces>3837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1</cp:lastModifiedBy>
  <cp:lastPrinted>2025-05-06T03:09:00Z</cp:lastPrinted>
  <dcterms:modified xsi:type="dcterms:W3CDTF">2025-12-04T04:57:18Z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30E3F269728648B7A806B2108CF54ABA</vt:lpwstr>
  </property>
  <property fmtid="{D5CDD505-2E9C-101B-9397-08002B2CF9AE}" pid="4" name="KSOTemplateDocerSaveRecord">
    <vt:lpwstr>eyJoZGlkIjoiODM2MDdmMjQ1Y2EyYmNkOTVlNzUwMTYyZTQ1M2MyMjUiLCJ1c2VySWQiOiI0MDE1MDE2MzkifQ==</vt:lpwstr>
  </property>
</Properties>
</file>