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426"/>
        </w:tabs>
        <w:adjustRightInd w:val="0"/>
        <w:snapToGrid w:val="0"/>
        <w:spacing w:line="360" w:lineRule="auto"/>
        <w:rPr>
          <w:rFonts w:ascii="宋体" w:hAnsi="宋体"/>
          <w:b/>
          <w:sz w:val="24"/>
        </w:rPr>
      </w:pPr>
      <w:r>
        <w:rPr>
          <w:rFonts w:hint="eastAsia" w:ascii="宋体" w:hAnsi="宋体"/>
          <w:b/>
          <w:sz w:val="24"/>
        </w:rPr>
        <w:t>第一部分 投标人的资格要求</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1.投标人具有独立法人资格，持有合法有效的企业法人营业执照。</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2.投标人未被列入“信用中国”网站(www.creditchina.gov.cn)“记录失信被执行人或重大税收违法案件当事人名单”记录名单；不处于中国政府采购网(www.ccgp.gov.cn)“政府采购严重违法失信行为信息记录”中的禁止参加政府采购活动期间。（投标人提供相关网页截图，如相关失信记录已失效，投标人需提供相关证明资料。招标人保留评标现场核查的权利。）</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3.投标人应符合《医疗器械监督管理条例》等相关法律法规的规定，投标人如为生产企业，所投产品为第二、三类医疗器械，提供有效的《医疗器械生产许可证》复印件；投标人如为经营企业，</w:t>
      </w:r>
      <w:bookmarkStart w:id="0" w:name="_GoBack"/>
      <w:bookmarkEnd w:id="0"/>
      <w:r>
        <w:rPr>
          <w:rFonts w:hint="eastAsia" w:ascii="宋体" w:hAnsi="宋体"/>
          <w:sz w:val="24"/>
        </w:rPr>
        <w:t>所投产品为第三类医疗器械，提供有效的《医疗器械经营许可证》复印件；如投标产品均不属于上述医疗器械管理范围的，供应商可提供声明函；（如国家另有规定，则适用其规定）。</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4.投标产品若属于中国医疗器械注册管理范围内的，则应取得监督管理部门颁发的相应的《中华人民共和国医疗器械注册证》（如国家另有规定，则适用其规定）</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5.本项目不接受联合体投标。</w:t>
      </w:r>
    </w:p>
    <w:p>
      <w:pPr>
        <w:pStyle w:val="37"/>
        <w:numPr>
          <w:numId w:val="0"/>
        </w:numPr>
        <w:tabs>
          <w:tab w:val="left" w:pos="420"/>
        </w:tabs>
        <w:adjustRightInd w:val="0"/>
        <w:snapToGrid w:val="0"/>
        <w:spacing w:line="360" w:lineRule="auto"/>
        <w:ind w:leftChars="0"/>
        <w:contextualSpacing w:val="0"/>
        <w:rPr>
          <w:rFonts w:hint="eastAsia" w:ascii="宋体" w:hAnsi="宋体"/>
          <w:sz w:val="24"/>
        </w:rPr>
      </w:pPr>
      <w:r>
        <w:rPr>
          <w:rFonts w:hint="eastAsia" w:ascii="宋体" w:hAnsi="宋体"/>
          <w:sz w:val="24"/>
        </w:rPr>
        <w:t>6.投标人提供2023年度或2024年度财务状况报告或基本开户行（或基本存款账户行）出具的资信证明，或最近一期财务报表（适用在上一年度或本财务年度成立的法人或其他组织）。</w:t>
      </w:r>
    </w:p>
    <w:p>
      <w:pPr>
        <w:pStyle w:val="37"/>
        <w:numPr>
          <w:numId w:val="0"/>
        </w:numPr>
        <w:tabs>
          <w:tab w:val="left" w:pos="420"/>
        </w:tabs>
        <w:adjustRightInd w:val="0"/>
        <w:snapToGrid w:val="0"/>
        <w:spacing w:line="360" w:lineRule="auto"/>
        <w:ind w:leftChars="0"/>
        <w:contextualSpacing w:val="0"/>
        <w:rPr>
          <w:rFonts w:hint="eastAsia" w:ascii="宋体" w:hAnsi="宋体" w:eastAsia="宋体"/>
          <w:sz w:val="24"/>
          <w:lang w:eastAsia="zh-CN"/>
        </w:rPr>
      </w:pPr>
      <w:r>
        <w:rPr>
          <w:rFonts w:hint="eastAsia" w:ascii="宋体" w:hAnsi="宋体"/>
          <w:sz w:val="24"/>
        </w:rPr>
        <w:t>7.投标人提供所属期限为投标截止日前12个月内任意1个月依法缴纳税收和社会保障资金的相关材料。如依法免税或不需要缴纳社会保障资金的，提供相应证明材料复印件并加盖公章。（说明：缴纳税收的证明材料主要是指投标人缴纳各类税款的凭据，一般情况下包括缴纳增值税和企业所得税的凭据，其中税种不能为社会保险基金。</w:t>
      </w:r>
      <w:r>
        <w:rPr>
          <w:rFonts w:hint="eastAsia" w:ascii="宋体" w:hAnsi="宋体"/>
          <w:sz w:val="24"/>
          <w:lang w:eastAsia="zh-CN"/>
        </w:rPr>
        <w:t>）</w:t>
      </w: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ascii="宋体" w:hAnsi="宋体"/>
          <w:b/>
          <w:sz w:val="24"/>
        </w:rPr>
      </w:pPr>
      <w:r>
        <w:rPr>
          <w:rFonts w:hint="eastAsia" w:ascii="宋体" w:hAnsi="宋体"/>
          <w:b/>
          <w:sz w:val="24"/>
        </w:rPr>
        <w:t>第二部分 采购需求书</w:t>
      </w:r>
    </w:p>
    <w:p>
      <w:pPr>
        <w:pStyle w:val="18"/>
        <w:pageBreakBefore w:val="0"/>
        <w:widowControl w:val="0"/>
        <w:wordWrap/>
        <w:topLinePunct w:val="0"/>
        <w:bidi w:val="0"/>
        <w:spacing w:line="360" w:lineRule="auto"/>
        <w:jc w:val="left"/>
        <w:rPr>
          <w:rFonts w:hint="eastAsia"/>
          <w:b w:val="0"/>
          <w:bCs w:val="0"/>
          <w:color w:val="auto"/>
          <w:sz w:val="24"/>
          <w:szCs w:val="24"/>
          <w:highlight w:val="none"/>
          <w:lang w:eastAsia="zh-CN"/>
        </w:rPr>
      </w:pPr>
      <w:r>
        <w:rPr>
          <w:rFonts w:hint="eastAsia"/>
          <w:b w:val="0"/>
          <w:bCs w:val="0"/>
          <w:color w:val="auto"/>
          <w:sz w:val="24"/>
          <w:szCs w:val="24"/>
          <w:highlight w:val="none"/>
          <w:lang w:eastAsia="zh-CN"/>
        </w:rPr>
        <w:t xml:space="preserve">注：打“★”号条款为实质性条款，若有任何一条负偏离或不满足则导致投标无效。 </w:t>
      </w:r>
    </w:p>
    <w:p>
      <w:pPr>
        <w:pStyle w:val="18"/>
        <w:pageBreakBefore w:val="0"/>
        <w:widowControl w:val="0"/>
        <w:wordWrap/>
        <w:topLinePunct w:val="0"/>
        <w:bidi w:val="0"/>
        <w:spacing w:line="360" w:lineRule="auto"/>
        <w:jc w:val="left"/>
        <w:rPr>
          <w:rFonts w:hint="eastAsia"/>
          <w:b w:val="0"/>
          <w:bCs w:val="0"/>
          <w:color w:val="auto"/>
          <w:sz w:val="24"/>
          <w:szCs w:val="24"/>
          <w:highlight w:val="none"/>
          <w:lang w:eastAsia="zh-CN"/>
        </w:rPr>
      </w:pPr>
      <w:r>
        <w:rPr>
          <w:rFonts w:hint="eastAsia"/>
          <w:b w:val="0"/>
          <w:bCs w:val="0"/>
          <w:color w:val="auto"/>
          <w:sz w:val="24"/>
          <w:szCs w:val="24"/>
          <w:highlight w:val="none"/>
          <w:lang w:eastAsia="zh-CN"/>
        </w:rPr>
        <w:t>打“▲”号条款为重要技术参数，若有部分“▲”条款未响应或不满足，将导致其响应性评审加重扣分，但不作为无效投标条款。</w:t>
      </w:r>
    </w:p>
    <w:p>
      <w:pPr>
        <w:pageBreakBefore w:val="0"/>
        <w:widowControl w:val="0"/>
        <w:wordWrap/>
        <w:topLinePunct w:val="0"/>
        <w:bidi w:val="0"/>
        <w:spacing w:line="360" w:lineRule="auto"/>
        <w:jc w:val="left"/>
        <w:rPr>
          <w:rFonts w:hint="eastAsia"/>
          <w:b w:val="0"/>
          <w:bCs w:val="0"/>
          <w:color w:val="auto"/>
          <w:sz w:val="24"/>
          <w:szCs w:val="24"/>
          <w:highlight w:val="none"/>
          <w:lang w:eastAsia="zh-CN"/>
        </w:rPr>
      </w:pPr>
      <w:r>
        <w:rPr>
          <w:rFonts w:hint="eastAsia"/>
          <w:b w:val="0"/>
          <w:bCs w:val="0"/>
          <w:color w:val="auto"/>
          <w:sz w:val="24"/>
          <w:szCs w:val="24"/>
          <w:highlight w:val="none"/>
          <w:lang w:eastAsia="zh-CN"/>
        </w:rPr>
        <w:t>风险提示：招标文件中列明的每种货物，招标人没有义务确保招标量，请投标人自行承担招标风险。</w:t>
      </w:r>
    </w:p>
    <w:p>
      <w:pPr>
        <w:pageBreakBefore w:val="0"/>
        <w:widowControl w:val="0"/>
        <w:wordWrap/>
        <w:topLinePunct w:val="0"/>
        <w:bidi w:val="0"/>
        <w:spacing w:line="360" w:lineRule="auto"/>
        <w:jc w:val="center"/>
        <w:rPr>
          <w:rFonts w:hint="eastAsia" w:ascii="宋体" w:hAnsi="宋体" w:cs="宋体"/>
          <w:b/>
          <w:bCs/>
          <w:color w:val="auto"/>
          <w:kern w:val="0"/>
          <w:sz w:val="28"/>
          <w:szCs w:val="28"/>
          <w:highlight w:val="none"/>
        </w:rPr>
      </w:pPr>
      <w:r>
        <w:rPr>
          <w:rFonts w:hint="eastAsia" w:ascii="宋体" w:hAnsi="宋体" w:cs="宋体"/>
          <w:b/>
          <w:color w:val="auto"/>
          <w:sz w:val="32"/>
          <w:szCs w:val="32"/>
          <w:highlight w:val="none"/>
        </w:rPr>
        <w:t>用户需求书</w:t>
      </w:r>
    </w:p>
    <w:p>
      <w:pPr>
        <w:pStyle w:val="3"/>
        <w:pageBreakBefore w:val="0"/>
        <w:widowControl w:val="0"/>
        <w:wordWrap/>
        <w:topLinePunct w:val="0"/>
        <w:bidi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一、项目概况内容</w:t>
      </w:r>
    </w:p>
    <w:p>
      <w:pPr>
        <w:pageBreakBefore w:val="0"/>
        <w:widowControl w:val="0"/>
        <w:wordWrap/>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采购项目名称：</w:t>
      </w:r>
      <w:r>
        <w:rPr>
          <w:rFonts w:hint="eastAsia" w:ascii="宋体" w:hAnsi="宋体" w:eastAsia="宋体" w:cs="宋体"/>
          <w:sz w:val="21"/>
          <w:szCs w:val="21"/>
          <w:lang w:eastAsia="zh-CN"/>
        </w:rPr>
        <w:t>汕头大学医学院第一附属医院软性内镜清洗消毒机项目</w:t>
      </w:r>
      <w:r>
        <w:rPr>
          <w:rFonts w:hint="eastAsia" w:ascii="宋体" w:hAnsi="宋体" w:eastAsia="宋体" w:cs="宋体"/>
          <w:sz w:val="21"/>
          <w:szCs w:val="21"/>
        </w:rPr>
        <w:t xml:space="preserve">                  </w:t>
      </w:r>
    </w:p>
    <w:p>
      <w:pPr>
        <w:pageBreakBefore w:val="0"/>
        <w:widowControl w:val="0"/>
        <w:wordWrap/>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采购预算/最高限价：</w:t>
      </w:r>
      <w:r>
        <w:rPr>
          <w:rFonts w:hint="eastAsia" w:ascii="宋体" w:hAnsi="宋体" w:eastAsia="宋体" w:cs="宋体"/>
          <w:sz w:val="21"/>
          <w:szCs w:val="21"/>
          <w:lang w:val="en-US" w:eastAsia="zh-CN"/>
        </w:rPr>
        <w:t>480000.00</w:t>
      </w:r>
      <w:r>
        <w:rPr>
          <w:rFonts w:hint="eastAsia" w:ascii="宋体" w:hAnsi="宋体" w:eastAsia="宋体" w:cs="宋体"/>
          <w:sz w:val="21"/>
          <w:szCs w:val="21"/>
        </w:rPr>
        <w:t>元</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3.详细技术规范以用户需求书为准。投标人必须对本项目的全部内容进行投标报价，如有缺漏或超出最高采购限价，将导致投标无效。</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4.本项目允许采购进口产品。</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5.交货时间：合同签订后接到采购人通知45个工作日内安装调试完毕交付使用。</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6．交货地点：采购人指定地点</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如果投标产品是进口产品的，中标人协助办理所有的进口手续。</w:t>
      </w:r>
      <w:r>
        <w:rPr>
          <w:rFonts w:hint="eastAsia" w:ascii="宋体" w:hAnsi="宋体" w:eastAsia="宋体" w:cs="宋体"/>
          <w:color w:val="auto"/>
          <w:sz w:val="21"/>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kern w:val="0"/>
          <w:sz w:val="21"/>
          <w:szCs w:val="21"/>
          <w:highlight w:val="none"/>
          <w:lang w:val="en-US" w:eastAsia="zh-CN"/>
        </w:rPr>
        <w:t>8.</w:t>
      </w:r>
      <w:r>
        <w:rPr>
          <w:rFonts w:hint="eastAsia" w:ascii="宋体" w:hAnsi="宋体" w:eastAsia="宋体" w:cs="宋体"/>
          <w:bCs w:val="0"/>
          <w:color w:val="auto"/>
          <w:kern w:val="0"/>
          <w:sz w:val="21"/>
          <w:szCs w:val="21"/>
          <w:highlight w:val="none"/>
        </w:rPr>
        <w:t>不允许中标人</w:t>
      </w:r>
      <w:r>
        <w:rPr>
          <w:rFonts w:hint="eastAsia" w:ascii="宋体" w:hAnsi="宋体" w:eastAsia="宋体" w:cs="宋体"/>
          <w:color w:val="auto"/>
          <w:kern w:val="0"/>
          <w:sz w:val="21"/>
          <w:szCs w:val="21"/>
          <w:highlight w:val="none"/>
        </w:rPr>
        <w:t>转包、分包项目内容</w:t>
      </w:r>
      <w:r>
        <w:rPr>
          <w:rFonts w:hint="eastAsia" w:ascii="宋体" w:hAnsi="宋体" w:eastAsia="宋体" w:cs="宋体"/>
          <w:color w:val="auto"/>
          <w:sz w:val="21"/>
          <w:szCs w:val="21"/>
          <w:highlight w:val="none"/>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产品应具备医疗器械注册证（无强制要求的除外，以国家药品监督管理局网上的数据库中查询的数据为准）。投标人若为投标产品生产厂家应具备《医疗器械生产许可证》；投标人若为经销商应具备所投产品对应的管理资质，医疗器械经营备案凭证或医疗器械经营许可证。</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投标人非生产厂家或制造商的，且所投产品为中华人民共和国境外提供的货物，须提供投标产品来源渠道合法的证明文件（原厂授权销售协议、代理协议、授权书、原产地证明等其中之一）</w:t>
      </w:r>
      <w:r>
        <w:rPr>
          <w:rFonts w:hint="eastAsia" w:ascii="宋体" w:hAnsi="宋体" w:eastAsia="宋体" w:cs="宋体"/>
          <w:color w:val="auto"/>
          <w:sz w:val="21"/>
          <w:szCs w:val="21"/>
          <w:lang w:eastAsia="zh-CN"/>
        </w:rPr>
        <w:t>，多层代理或经销或授权关系证明应明晰。</w:t>
      </w:r>
    </w:p>
    <w:p>
      <w:pPr>
        <w:pStyle w:val="45"/>
        <w:pageBreakBefore w:val="0"/>
        <w:widowControl w:val="0"/>
        <w:kinsoku/>
        <w:wordWrap/>
        <w:overflowPunct/>
        <w:topLinePunct w:val="0"/>
        <w:autoSpaceDE/>
        <w:autoSpaceDN/>
        <w:bidi w:val="0"/>
        <w:spacing w:after="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11.项目明细</w:t>
      </w:r>
    </w:p>
    <w:tbl>
      <w:tblPr>
        <w:tblStyle w:val="21"/>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7"/>
        <w:gridCol w:w="2656"/>
        <w:gridCol w:w="162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设备名称</w:t>
            </w:r>
          </w:p>
        </w:tc>
        <w:tc>
          <w:tcPr>
            <w:tcW w:w="2197"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c>
          <w:tcPr>
            <w:tcW w:w="2656"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设备预算单价（单位：万元）</w:t>
            </w:r>
          </w:p>
        </w:tc>
        <w:tc>
          <w:tcPr>
            <w:tcW w:w="1625"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是否允许进口产品</w:t>
            </w:r>
          </w:p>
        </w:tc>
        <w:tc>
          <w:tcPr>
            <w:tcW w:w="1344" w:type="dxa"/>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val="0"/>
                <w:color w:val="auto"/>
                <w:kern w:val="0"/>
                <w:sz w:val="21"/>
                <w:szCs w:val="21"/>
              </w:rPr>
              <w:t>采购标的所属行业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软性内镜清洗消毒机</w:t>
            </w:r>
          </w:p>
        </w:tc>
        <w:tc>
          <w:tcPr>
            <w:tcW w:w="2197"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2套</w:t>
            </w:r>
          </w:p>
        </w:tc>
        <w:tc>
          <w:tcPr>
            <w:tcW w:w="2656"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24.00万元</w:t>
            </w:r>
          </w:p>
        </w:tc>
        <w:tc>
          <w:tcPr>
            <w:tcW w:w="1625" w:type="dxa"/>
            <w:noWrap w:val="0"/>
            <w:vAlign w:val="center"/>
          </w:tcPr>
          <w:p>
            <w:pPr>
              <w:pStyle w:val="45"/>
              <w:pageBreakBefore w:val="0"/>
              <w:widowControl w:val="0"/>
              <w:kinsoku/>
              <w:wordWrap/>
              <w:overflowPunct/>
              <w:topLinePunct w:val="0"/>
              <w:autoSpaceDE/>
              <w:autoSpaceDN/>
              <w:bidi w:val="0"/>
              <w:spacing w:after="0" w:line="36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允许</w:t>
            </w:r>
          </w:p>
        </w:tc>
        <w:tc>
          <w:tcPr>
            <w:tcW w:w="1344" w:type="dxa"/>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r>
    </w:tbl>
    <w:p>
      <w:pPr>
        <w:pageBreakBefore w:val="0"/>
        <w:widowControl w:val="0"/>
        <w:wordWrap/>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18"/>
        <w:pageBreakBefore w:val="0"/>
        <w:widowControl w:val="0"/>
        <w:wordWrap/>
        <w:topLinePunct w:val="0"/>
        <w:bidi w:val="0"/>
        <w:spacing w:line="360" w:lineRule="auto"/>
        <w:jc w:val="center"/>
        <w:rPr>
          <w:rFonts w:hint="eastAsia" w:ascii="宋体" w:hAnsi="宋体" w:eastAsia="宋体" w:cs="宋体"/>
          <w:b/>
          <w:bCs/>
          <w:color w:val="auto"/>
          <w:sz w:val="21"/>
          <w:szCs w:val="21"/>
        </w:rPr>
      </w:pPr>
    </w:p>
    <w:p>
      <w:pPr>
        <w:pageBreakBefore w:val="0"/>
        <w:widowControl w:val="0"/>
        <w:wordWrap/>
        <w:topLinePunct w:val="0"/>
        <w:bidi w:val="0"/>
        <w:snapToGrid w:val="0"/>
        <w:spacing w:line="360" w:lineRule="auto"/>
        <w:ind w:firstLine="141" w:firstLineChars="67"/>
        <w:jc w:val="left"/>
        <w:rPr>
          <w:rFonts w:hint="eastAsia" w:ascii="宋体" w:hAnsi="宋体" w:eastAsia="宋体" w:cs="宋体"/>
          <w:b/>
          <w:bCs/>
          <w:color w:val="auto"/>
          <w:sz w:val="21"/>
          <w:szCs w:val="21"/>
          <w:shd w:val="clear" w:color="auto" w:fill="FFFFFF"/>
          <w:lang w:eastAsia="zh-CN"/>
        </w:rPr>
      </w:pPr>
      <w:r>
        <w:rPr>
          <w:rFonts w:hint="eastAsia" w:ascii="宋体" w:hAnsi="宋体" w:eastAsia="宋体" w:cs="宋体"/>
          <w:b/>
          <w:bCs/>
          <w:color w:val="auto"/>
          <w:sz w:val="21"/>
          <w:szCs w:val="21"/>
          <w:shd w:val="clear" w:color="auto" w:fill="FFFFFF"/>
        </w:rPr>
        <w:t>二、需求参数</w:t>
      </w:r>
    </w:p>
    <w:tbl>
      <w:tblPr>
        <w:tblStyle w:val="20"/>
        <w:tblW w:w="6070" w:type="pct"/>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244"/>
        <w:gridCol w:w="1511"/>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noWrap w:val="0"/>
            <w:vAlign w:val="center"/>
          </w:tcPr>
          <w:p>
            <w:pPr>
              <w:pageBreakBefore w:val="0"/>
              <w:widowControl w:val="0"/>
              <w:wordWrap/>
              <w:topLinePunct w:val="0"/>
              <w:bidi w:val="0"/>
              <w:snapToGrid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设备名称</w:t>
            </w:r>
          </w:p>
        </w:tc>
        <w:tc>
          <w:tcPr>
            <w:tcW w:w="601" w:type="pct"/>
            <w:tcBorders>
              <w:bottom w:val="single" w:color="auto" w:sz="4" w:space="0"/>
            </w:tcBorders>
            <w:noWrap w:val="0"/>
            <w:vAlign w:val="center"/>
          </w:tcPr>
          <w:p>
            <w:pPr>
              <w:pageBreakBefore w:val="0"/>
              <w:widowControl w:val="0"/>
              <w:wordWrap/>
              <w:topLinePunct w:val="0"/>
              <w:bidi w:val="0"/>
              <w:snapToGrid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数量（套）</w:t>
            </w:r>
          </w:p>
        </w:tc>
        <w:tc>
          <w:tcPr>
            <w:tcW w:w="730" w:type="pct"/>
            <w:noWrap w:val="0"/>
            <w:vAlign w:val="center"/>
          </w:tcPr>
          <w:p>
            <w:pPr>
              <w:pageBreakBefore w:val="0"/>
              <w:widowControl w:val="0"/>
              <w:wordWrap/>
              <w:topLinePunct w:val="0"/>
              <w:bidi w:val="0"/>
              <w:snapToGrid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设备预算单价（单位：万元）</w:t>
            </w:r>
          </w:p>
        </w:tc>
        <w:tc>
          <w:tcPr>
            <w:tcW w:w="3024" w:type="pct"/>
            <w:noWrap w:val="0"/>
            <w:vAlign w:val="center"/>
          </w:tcPr>
          <w:p>
            <w:pPr>
              <w:pageBreakBefore w:val="0"/>
              <w:widowControl w:val="0"/>
              <w:wordWrap/>
              <w:topLinePunct w:val="0"/>
              <w:bidi w:val="0"/>
              <w:snapToGrid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44" w:type="pct"/>
            <w:noWrap w:val="0"/>
            <w:vAlign w:val="center"/>
          </w:tcPr>
          <w:p>
            <w:pPr>
              <w:pageBreakBefore w:val="0"/>
              <w:widowControl w:val="0"/>
              <w:wordWrap/>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软性内镜清洗消毒机</w:t>
            </w:r>
          </w:p>
        </w:tc>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30" w:type="pct"/>
            <w:noWrap w:val="0"/>
            <w:vAlign w:val="center"/>
          </w:tcPr>
          <w:p>
            <w:pPr>
              <w:pageBreakBefore w:val="0"/>
              <w:widowControl w:val="0"/>
              <w:wordWrap/>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万</w:t>
            </w:r>
          </w:p>
        </w:tc>
        <w:tc>
          <w:tcPr>
            <w:tcW w:w="3024" w:type="pct"/>
            <w:noWrap w:val="0"/>
            <w:vAlign w:val="center"/>
          </w:tcPr>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1.▲单槽可同时洗消两条内镜，高效洗消，节省洗消成本；</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2.最快洗消全流程≤18分钟；</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3.▲具备超声清洗功能，有效清洗内镜细微部件上的污染物；</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4.▲具有专用的送水、送气、活检、抬钳器、测漏管道连接管；</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5.可在洗消机内对内镜按钮清洗消毒；</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6.可自动完成软式内镜清洗、漂洗、消毒、酒精干燥等流程；</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7.机身小巧、有效利用空间；</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8.具备脚踏开关清洗盖功能；</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9.具有漏水测试功能；</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10.具有RFID（内镜和用户信息）识别功能，可追踪内镜和用户ID；</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11.具有打印功能，可以打印清洗消毒时间和内镜编号等；</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12.具有自身消毒功能；</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13.具备酒精喷洒功能；</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rPr>
            </w:pPr>
            <w:r>
              <w:rPr>
                <w:rFonts w:hint="eastAsia" w:ascii="宋体" w:hAnsi="宋体" w:eastAsia="宋体" w:cs="宋体"/>
                <w:bCs w:val="0"/>
                <w:iCs w:val="0"/>
                <w:kern w:val="0"/>
                <w:sz w:val="21"/>
                <w:szCs w:val="21"/>
              </w:rPr>
              <w:t>14.配有内置水过滤器装置、气体过滤器及空气过滤器；</w:t>
            </w:r>
          </w:p>
          <w:p>
            <w:pPr>
              <w:pageBreakBefore w:val="0"/>
              <w:widowControl w:val="0"/>
              <w:wordWrap/>
              <w:topLinePunct w:val="0"/>
              <w:bidi w:val="0"/>
              <w:spacing w:line="360" w:lineRule="auto"/>
              <w:jc w:val="left"/>
              <w:rPr>
                <w:rFonts w:hint="eastAsia" w:ascii="宋体" w:hAnsi="宋体" w:eastAsia="宋体" w:cs="宋体"/>
                <w:bCs w:val="0"/>
                <w:iCs w:val="0"/>
                <w:kern w:val="0"/>
                <w:sz w:val="21"/>
                <w:szCs w:val="21"/>
                <w:lang w:val="en-US" w:eastAsia="zh-CN" w:bidi="ar-SA"/>
              </w:rPr>
            </w:pPr>
            <w:r>
              <w:rPr>
                <w:rFonts w:hint="eastAsia" w:ascii="宋体" w:hAnsi="宋体" w:eastAsia="宋体" w:cs="宋体"/>
                <w:bCs w:val="0"/>
                <w:iCs w:val="0"/>
                <w:kern w:val="0"/>
                <w:sz w:val="21"/>
                <w:szCs w:val="21"/>
              </w:rPr>
              <w:t>15.开放式消毒液，无专配耗材</w:t>
            </w:r>
          </w:p>
        </w:tc>
      </w:tr>
    </w:tbl>
    <w:p>
      <w:pPr>
        <w:pageBreakBefore w:val="0"/>
        <w:widowControl w:val="0"/>
        <w:numPr>
          <w:ilvl w:val="0"/>
          <w:numId w:val="1"/>
        </w:numPr>
        <w:wordWrap/>
        <w:topLinePunct w:val="0"/>
        <w:bidi w:val="0"/>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投标人除按设备售后规定，负责培训设备操作人员，还应当培训1-2名负责此设备维护、维修的工程师。</w:t>
      </w:r>
    </w:p>
    <w:p>
      <w:pPr>
        <w:pageBreakBefore w:val="0"/>
        <w:widowControl w:val="0"/>
        <w:numPr>
          <w:ilvl w:val="0"/>
          <w:numId w:val="1"/>
        </w:numPr>
        <w:wordWrap/>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协调设备厂家配合信息系统提供方，联接调试好信息系统，并负责支付相关接口费用。</w:t>
      </w:r>
    </w:p>
    <w:p>
      <w:pPr>
        <w:pageBreakBefore w:val="0"/>
        <w:widowControl w:val="0"/>
        <w:tabs>
          <w:tab w:val="left" w:pos="3210"/>
        </w:tabs>
        <w:wordWrap/>
        <w:topLinePunct w:val="0"/>
        <w:bidi w:val="0"/>
        <w:snapToGrid w:val="0"/>
        <w:spacing w:line="360" w:lineRule="auto"/>
        <w:textAlignment w:val="baseline"/>
        <w:rPr>
          <w:rFonts w:hint="eastAsia" w:ascii="宋体" w:hAnsi="宋体" w:eastAsia="宋体" w:cs="宋体"/>
          <w:color w:val="auto"/>
          <w:kern w:val="0"/>
          <w:sz w:val="21"/>
          <w:szCs w:val="21"/>
          <w:lang w:eastAsia="zh-CN"/>
        </w:rPr>
      </w:pPr>
    </w:p>
    <w:p>
      <w:pPr>
        <w:pageBreakBefore w:val="0"/>
        <w:widowControl w:val="0"/>
        <w:tabs>
          <w:tab w:val="left" w:pos="3210"/>
        </w:tabs>
        <w:wordWrap/>
        <w:topLinePunct w:val="0"/>
        <w:bidi w:val="0"/>
        <w:snapToGrid w:val="0"/>
        <w:spacing w:line="360" w:lineRule="auto"/>
        <w:textAlignment w:val="baseline"/>
        <w:rPr>
          <w:rStyle w:val="46"/>
          <w:rFonts w:hint="eastAsia" w:ascii="宋体" w:hAnsi="宋体" w:eastAsia="宋体" w:cs="宋体"/>
          <w:b/>
          <w:color w:val="auto"/>
          <w:sz w:val="21"/>
          <w:szCs w:val="21"/>
        </w:rPr>
      </w:pPr>
      <w:r>
        <w:rPr>
          <w:rStyle w:val="46"/>
          <w:rFonts w:hint="eastAsia" w:ascii="宋体" w:hAnsi="宋体" w:eastAsia="宋体" w:cs="宋体"/>
          <w:b/>
          <w:color w:val="auto"/>
          <w:sz w:val="21"/>
          <w:szCs w:val="21"/>
          <w:lang w:eastAsia="zh-CN"/>
        </w:rPr>
        <w:t>三、</w:t>
      </w:r>
      <w:r>
        <w:rPr>
          <w:rStyle w:val="46"/>
          <w:rFonts w:hint="eastAsia" w:ascii="宋体" w:hAnsi="宋体" w:eastAsia="宋体" w:cs="宋体"/>
          <w:b/>
          <w:color w:val="auto"/>
          <w:sz w:val="21"/>
          <w:szCs w:val="21"/>
        </w:rPr>
        <w:t>采购项目商务要求</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)验收要求：</w:t>
      </w:r>
      <w:r>
        <w:rPr>
          <w:rFonts w:hint="eastAsia" w:ascii="宋体" w:hAnsi="宋体" w:eastAsia="宋体" w:cs="宋体"/>
          <w:color w:val="auto"/>
          <w:sz w:val="21"/>
          <w:szCs w:val="21"/>
        </w:rPr>
        <w:t>设备到货后，必须免费安装调试至能正常使用，安装调试完成后</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天内组织验收。</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2.货物为原厂商未启封全新包装，具出厂合格证，序列号、包装箱号与出厂批号一致，并可追索查阅。所有随设备的附件必须齐全。 </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3.中标人应将关键主机设备的用户手册、保修手册、有关单证资料及配备件、随机工具等交付给采购人，使用操作及安全须知等重要资料应附有中文说明。 </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4.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 </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货物送达采购人指定的地点后，由双方工作人员按送货单进行初步的检货验收和签名确认。验收包括：名称、型号、规格、配置、品牌、数量、外观质量、及货物包装是否完好，初步验收合格后采购人应在验收记录上签字或盖章。初检仅代表采购人收到中标人送达货物的数量，并不代表采购人已经认可中标人货物的质量。若在使用过程中发现货物存在质量缺陷、冒牌等问题时，中标人须2日内办理退货或换货</w:t>
      </w:r>
    </w:p>
    <w:p>
      <w:pPr>
        <w:pageBreakBefore w:val="0"/>
        <w:widowControl w:val="0"/>
        <w:kinsoku w:val="0"/>
        <w:wordWrap/>
        <w:overflowPunct w:val="0"/>
        <w:topLinePunct w:val="0"/>
        <w:autoSpaceDE w:val="0"/>
        <w:autoSpaceDN w:val="0"/>
        <w:bidi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2)保修期及售后服务要求：</w:t>
      </w:r>
      <w:r>
        <w:rPr>
          <w:rFonts w:hint="eastAsia" w:ascii="宋体" w:hAnsi="宋体" w:eastAsia="宋体" w:cs="宋体"/>
          <w:color w:val="auto"/>
          <w:sz w:val="21"/>
          <w:szCs w:val="21"/>
          <w:lang w:val="en-US" w:eastAsia="zh-CN"/>
        </w:rPr>
        <w:t>①中标人保证合同设备是全新、未曾使用过的，其质量、规格及技术特征符合合同附件的要求。 ②设备免费保修：项目整体验收后，提供不少于36个月的免费保修期，</w:t>
      </w:r>
      <w:r>
        <w:rPr>
          <w:rFonts w:hint="eastAsia" w:ascii="宋体" w:hAnsi="宋体" w:eastAsia="宋体" w:cs="宋体"/>
          <w:color w:val="auto"/>
          <w:sz w:val="21"/>
          <w:szCs w:val="21"/>
        </w:rPr>
        <w:t>质保期内定期</w:t>
      </w:r>
      <w:r>
        <w:rPr>
          <w:rFonts w:hint="eastAsia" w:ascii="宋体" w:hAnsi="宋体" w:eastAsia="宋体" w:cs="宋体"/>
          <w:bCs w:val="0"/>
          <w:iCs w:val="0"/>
          <w:color w:val="auto"/>
          <w:sz w:val="21"/>
          <w:szCs w:val="21"/>
        </w:rPr>
        <w:t>免费更换滤芯</w:t>
      </w:r>
      <w:r>
        <w:rPr>
          <w:rFonts w:hint="eastAsia" w:ascii="宋体" w:hAnsi="宋体" w:eastAsia="宋体" w:cs="宋体"/>
          <w:bCs w:val="0"/>
          <w:iCs w:val="0"/>
          <w:color w:val="auto"/>
          <w:sz w:val="21"/>
          <w:szCs w:val="21"/>
          <w:lang w:eastAsia="zh-CN"/>
        </w:rPr>
        <w:t>，</w:t>
      </w:r>
      <w:r>
        <w:rPr>
          <w:rFonts w:hint="eastAsia" w:ascii="宋体" w:hAnsi="宋体" w:eastAsia="宋体" w:cs="宋体"/>
          <w:color w:val="auto"/>
          <w:sz w:val="21"/>
          <w:szCs w:val="21"/>
          <w:lang w:val="en-US" w:eastAsia="zh-CN"/>
        </w:rPr>
        <w:t>整机保修，保修期自双方代表在货物验收报告上签字之日起计算。保修期内中标人负责提供设备的三包（包修、包换、包退）服务，须有可随时上门提供维护、保修、技术支持等服务，并承担因此而产生的一切费用。 ③从验收合格之日起一个月内，采购人所购设备各部件发生非人为损坏，中标人应给予无条件更换。从验收合格之日起一年内，如同一设备一个月内累积2次出现同一问题，中标人必须无条件更换该设备。中标人售后服务人员定期回访，每三个月进行一次保养维修并登记。 ④保修期内货物各部件发生非人为故障的，中标人应免费上门更换同种品牌规格型号的新部件；货物发生人为故障的，中标人应上门更换同种品牌规格型号的新部件，只收零配件成本，不得加收其它任何费用。 ⑤免费提供7×24小时技术支持，永久性免费提供电话技术指导和咨询服务。保修期内，货物故障报修响应时间为：故障响应时间不超过壹小时，到达现场时间不超过贰小时；当天无法修复的，需提供同等规格的产品代用，直至故障设备修复，中标人负责所有因设备质量问题而产生的费用。 ⑥在保修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 ⑦中标人为采购人提供操作及维护培训，主要内容为设备的基本结构、性能、主要部件的构造及原理，日常使用操作、保养与管理，常见故障的排除，紧急情况的处理等，培训地点主要在设备安装现场或按双方协商安排。 ⑧因设备的质量问题而发生争议，由广东省或汕头市质检部门进行质量鉴定。设备符合质量标准的，鉴定费用由采购人承担；设备不符合质量标准的，鉴定费用由中标人承担。</w:t>
      </w:r>
    </w:p>
    <w:p>
      <w:pPr>
        <w:pageBreakBefore w:val="0"/>
        <w:widowControl w:val="0"/>
        <w:numPr>
          <w:ilvl w:val="0"/>
          <w:numId w:val="0"/>
        </w:numPr>
        <w:tabs>
          <w:tab w:val="left" w:pos="312"/>
        </w:tabs>
        <w:kinsoku w:val="0"/>
        <w:wordWrap/>
        <w:overflowPunct w:val="0"/>
        <w:topLinePunct w:val="0"/>
        <w:autoSpaceDE w:val="0"/>
        <w:autoSpaceDN w:val="0"/>
        <w:bidi w:val="0"/>
        <w:adjustRightInd w:val="0"/>
        <w:snapToGrid w:val="0"/>
        <w:spacing w:line="360" w:lineRule="auto"/>
        <w:ind w:left="0"/>
        <w:rPr>
          <w:rFonts w:hint="eastAsia" w:ascii="宋体" w:hAnsi="宋体" w:eastAsia="宋体" w:cs="宋体"/>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付款方式：</w:t>
      </w:r>
      <w:r>
        <w:rPr>
          <w:rFonts w:hint="eastAsia" w:ascii="宋体" w:hAnsi="宋体" w:eastAsia="宋体" w:cs="宋体"/>
          <w:color w:val="auto"/>
          <w:sz w:val="21"/>
          <w:szCs w:val="21"/>
        </w:rPr>
        <w:t>合同设备到达采购人指定地点完成安装、调试、验收、培训并交付使用后，中标人于6个月内凭：①合同、②正式发票、③验收调试报告（加盖采购人公章）、④中标通知书向采购人申请付款，采购人向中标人支付合同总金额的95％，剩余5％待验收合格保修期满后一次性无息付清</w:t>
      </w:r>
      <w:r>
        <w:rPr>
          <w:rFonts w:hint="eastAsia" w:ascii="宋体" w:hAnsi="宋体" w:eastAsia="宋体" w:cs="宋体"/>
          <w:sz w:val="21"/>
          <w:szCs w:val="21"/>
        </w:rPr>
        <w:t>。</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lang w:val="en-US" w:eastAsia="zh-CN"/>
        </w:rPr>
        <w:t>4）</w:t>
      </w:r>
      <w:r>
        <w:rPr>
          <w:rFonts w:hint="eastAsia" w:ascii="宋体" w:hAnsi="宋体" w:eastAsia="宋体" w:cs="宋体"/>
          <w:bCs/>
          <w:color w:val="auto"/>
          <w:sz w:val="21"/>
          <w:szCs w:val="21"/>
          <w:highlight w:val="none"/>
          <w:shd w:val="clear" w:color="auto" w:fill="FFFFFF"/>
        </w:rPr>
        <w:t>其他要求</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★1、串通投标的处置</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投标人存在政府采购相关法律法规规定的属于投标人相互串通投标情形的，投标无效。</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投标人串通投标中标的，其行为是在签订合同生效之前被认定的，则中标无效；招标人可以重新开展招标采购活动，也可以按照评标报告推荐的中标候选人名单排序，确定下一候选人为中标供应商。</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投标人串通投标中标的，其行为是在签订合同生效之后被证实的，则认定为投标人的违约行为，按合同约定承担违约责任，招标人有权终止合同。</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上述串通投标行为，构成犯罪的，依法追究刑事责任；尚不构成犯罪的，依据相关法律规定处罚，给招标人造成损失的应承担赔偿责任。</w:t>
      </w:r>
    </w:p>
    <w:p>
      <w:pPr>
        <w:pageBreakBefore w:val="0"/>
        <w:widowControl w:val="0"/>
        <w:wordWrap/>
        <w:topLinePunct w:val="0"/>
        <w:bidi w:val="0"/>
        <w:adjustRightInd w:val="0"/>
        <w:snapToGrid w:val="0"/>
        <w:spacing w:line="360" w:lineRule="auto"/>
        <w:jc w:val="both"/>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★2、不参与串通投标承诺</w:t>
      </w:r>
    </w:p>
    <w:p>
      <w:pPr>
        <w:pageBreakBefore w:val="0"/>
        <w:widowControl w:val="0"/>
        <w:tabs>
          <w:tab w:val="left" w:pos="142"/>
          <w:tab w:val="left" w:pos="426"/>
        </w:tabs>
        <w:wordWrap/>
        <w:topLinePunct w:val="0"/>
        <w:bidi w:val="0"/>
        <w:adjustRightInd w:val="0"/>
        <w:snapToGrid w:val="0"/>
        <w:spacing w:line="360" w:lineRule="auto"/>
        <w:rPr>
          <w:rFonts w:hint="eastAsia" w:ascii="宋体" w:hAnsi="宋体" w:eastAsia="宋体" w:cs="宋体"/>
          <w:b/>
          <w:sz w:val="21"/>
          <w:szCs w:val="21"/>
        </w:rPr>
      </w:pPr>
      <w:r>
        <w:rPr>
          <w:rFonts w:hint="eastAsia" w:ascii="宋体" w:hAnsi="宋体" w:eastAsia="宋体" w:cs="宋体"/>
          <w:bCs/>
          <w:color w:val="auto"/>
          <w:sz w:val="21"/>
          <w:szCs w:val="21"/>
          <w:highlight w:val="none"/>
          <w:shd w:val="clear" w:color="auto" w:fill="FFFFFF"/>
        </w:rPr>
        <w:t>投标人须承诺在本项目招投标活动中，不参与各种情形的串通投标等违法违规行为。（提供加盖投标人单位公章的承诺函，格式</w:t>
      </w:r>
      <w:r>
        <w:rPr>
          <w:rFonts w:hint="eastAsia" w:ascii="宋体" w:hAnsi="宋体" w:eastAsia="宋体" w:cs="宋体"/>
          <w:bCs/>
          <w:color w:val="auto"/>
          <w:sz w:val="21"/>
          <w:szCs w:val="21"/>
          <w:highlight w:val="none"/>
          <w:shd w:val="clear" w:color="auto" w:fill="FFFFFF"/>
          <w:lang w:eastAsia="zh-CN"/>
        </w:rPr>
        <w:t>自拟</w:t>
      </w:r>
      <w:r>
        <w:rPr>
          <w:rFonts w:hint="eastAsia" w:ascii="宋体" w:hAnsi="宋体" w:cs="宋体"/>
          <w:bCs/>
          <w:color w:val="auto"/>
          <w:sz w:val="21"/>
          <w:szCs w:val="21"/>
          <w:highlight w:val="none"/>
          <w:shd w:val="clear" w:color="auto" w:fill="FFFFFF"/>
          <w:lang w:eastAsia="zh-CN"/>
        </w:rPr>
        <w:t>）</w:t>
      </w: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tabs>
          <w:tab w:val="left" w:pos="142"/>
          <w:tab w:val="left" w:pos="426"/>
        </w:tabs>
        <w:adjustRightInd w:val="0"/>
        <w:snapToGrid w:val="0"/>
        <w:spacing w:line="360" w:lineRule="auto"/>
        <w:rPr>
          <w:rFonts w:hint="eastAsia" w:ascii="宋体" w:hAnsi="宋体"/>
          <w:b/>
          <w:sz w:val="24"/>
        </w:rPr>
      </w:pPr>
    </w:p>
    <w:p>
      <w:pPr>
        <w:numPr>
          <w:ilvl w:val="0"/>
          <w:numId w:val="2"/>
        </w:numPr>
        <w:tabs>
          <w:tab w:val="left" w:pos="142"/>
          <w:tab w:val="left" w:pos="426"/>
        </w:tabs>
        <w:adjustRightInd w:val="0"/>
        <w:snapToGrid w:val="0"/>
        <w:spacing w:line="360" w:lineRule="auto"/>
        <w:rPr>
          <w:rFonts w:hint="eastAsia" w:ascii="宋体" w:hAnsi="宋体"/>
          <w:b/>
          <w:sz w:val="24"/>
        </w:rPr>
      </w:pPr>
      <w:r>
        <w:rPr>
          <w:rFonts w:hint="eastAsia" w:ascii="宋体" w:hAnsi="宋体"/>
          <w:b/>
          <w:sz w:val="24"/>
        </w:rPr>
        <w:t>综合评分表</w:t>
      </w:r>
    </w:p>
    <w:p>
      <w:pPr>
        <w:pStyle w:val="2"/>
        <w:keepNext/>
        <w:keepLines/>
        <w:widowControl w:val="0"/>
        <w:numPr>
          <w:numId w:val="0"/>
        </w:numPr>
        <w:spacing w:before="160" w:after="80"/>
        <w:jc w:val="both"/>
        <w:outlineLvl w:val="1"/>
        <w:rPr>
          <w:rFonts w:hint="eastAsia"/>
        </w:rPr>
      </w:pPr>
    </w:p>
    <w:p>
      <w:pPr>
        <w:rPr>
          <w:rFonts w:hint="eastAsia"/>
        </w:rPr>
      </w:pPr>
    </w:p>
    <w:p>
      <w:pPr>
        <w:pStyle w:val="2"/>
        <w:rPr>
          <w:rFonts w:hint="eastAsia"/>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1"/>
        <w:gridCol w:w="5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1"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评分项目</w:t>
            </w:r>
          </w:p>
        </w:tc>
        <w:tc>
          <w:tcPr>
            <w:tcW w:w="5305"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满分值(An)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1"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技术评审</w:t>
            </w:r>
          </w:p>
        </w:tc>
        <w:tc>
          <w:tcPr>
            <w:tcW w:w="5305"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60</w:t>
            </w:r>
            <w:r>
              <w:rPr>
                <w:rFonts w:hint="eastAsia" w:ascii="宋体" w:hAnsi="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1"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商务评审</w:t>
            </w:r>
          </w:p>
        </w:tc>
        <w:tc>
          <w:tcPr>
            <w:tcW w:w="5305"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1" w:type="dxa"/>
            <w:noWrap w:val="0"/>
            <w:vAlign w:val="center"/>
          </w:tcPr>
          <w:p>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价格评审</w:t>
            </w:r>
          </w:p>
        </w:tc>
        <w:tc>
          <w:tcPr>
            <w:tcW w:w="5305" w:type="dxa"/>
            <w:noWrap w:val="0"/>
            <w:vAlign w:val="center"/>
          </w:tcPr>
          <w:p>
            <w:pPr>
              <w:snapToGrid w:val="0"/>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分</w:t>
            </w:r>
          </w:p>
        </w:tc>
      </w:tr>
    </w:tbl>
    <w:p>
      <w:pPr>
        <w:spacing w:after="120"/>
        <w:jc w:val="center"/>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rPr>
      </w:pPr>
    </w:p>
    <w:p>
      <w:pPr>
        <w:spacing w:after="120"/>
        <w:jc w:val="center"/>
        <w:rPr>
          <w:rFonts w:hint="eastAsia" w:ascii="宋体" w:hAnsi="宋体" w:cs="宋体"/>
          <w:b/>
          <w:color w:val="auto"/>
          <w:sz w:val="24"/>
          <w:szCs w:val="24"/>
          <w:highlight w:val="none"/>
        </w:rPr>
      </w:pPr>
      <w:r>
        <w:rPr>
          <w:rFonts w:hint="eastAsia" w:ascii="宋体" w:hAnsi="宋体" w:cs="宋体"/>
          <w:b/>
          <w:color w:val="auto"/>
          <w:highlight w:val="none"/>
          <w:lang w:eastAsia="zh-CN"/>
        </w:rPr>
        <w:t>价格</w:t>
      </w:r>
      <w:r>
        <w:rPr>
          <w:rFonts w:hint="eastAsia" w:ascii="宋体" w:hAnsi="宋体" w:cs="宋体"/>
          <w:b/>
          <w:color w:val="auto"/>
          <w:highlight w:val="none"/>
        </w:rPr>
        <w:t>评审表</w:t>
      </w:r>
    </w:p>
    <w:tbl>
      <w:tblPr>
        <w:tblStyle w:val="2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86"/>
        <w:gridCol w:w="649"/>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序号</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评议内容</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分值</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int="eastAsia" w:ascii="宋体" w:hAnsi="宋体" w:eastAsia="宋体" w:cs="宋体"/>
                <w:color w:val="auto"/>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cs="宋体"/>
                <w:color w:val="auto"/>
                <w:highlight w:val="none"/>
              </w:rPr>
              <w:t>价格评审</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Cs w:val="21"/>
                <w:lang w:val="en-US" w:eastAsia="zh-CN"/>
              </w:rPr>
            </w:pPr>
            <w:r>
              <w:rPr>
                <w:rFonts w:hint="eastAsia" w:ascii="宋体" w:hAnsi="宋体" w:eastAsia="宋体" w:cs="宋体"/>
                <w:bCs/>
                <w:color w:val="auto"/>
                <w:sz w:val="21"/>
                <w:szCs w:val="21"/>
                <w:lang w:val="en-US" w:eastAsia="zh-CN"/>
              </w:rPr>
              <w:t>30</w:t>
            </w:r>
          </w:p>
        </w:tc>
        <w:tc>
          <w:tcPr>
            <w:tcW w:w="5595"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Cs w:val="21"/>
              </w:rPr>
            </w:pPr>
            <w:r>
              <w:rPr>
                <w:rFonts w:hint="eastAsia" w:ascii="宋体" w:hAnsi="宋体" w:eastAsia="宋体" w:cs="宋体"/>
                <w:sz w:val="21"/>
                <w:szCs w:val="21"/>
              </w:rPr>
              <w:t>对通过初步审查的投标人，将评委会校核修正后的各投标人的投标总价定义为评标价格。取评标价最低的100%作为基准价。各投标人的价格评分按以下公式计算（保留小数点后两位有效数字）：价格评分=（评标基准价格/评标价格）×价格分满分值。</w:t>
            </w:r>
          </w:p>
        </w:tc>
      </w:tr>
    </w:tbl>
    <w:p>
      <w:pPr>
        <w:pStyle w:val="2"/>
        <w:rPr>
          <w:rFonts w:hint="eastAsia" w:ascii="宋体" w:hAnsi="宋体" w:cs="宋体"/>
          <w:b/>
          <w:color w:val="auto"/>
          <w:highlight w:val="none"/>
        </w:rPr>
      </w:pPr>
    </w:p>
    <w:p>
      <w:pPr>
        <w:rPr>
          <w:rFonts w:hint="eastAsia" w:ascii="宋体" w:hAnsi="宋体" w:cs="宋体"/>
          <w:b/>
          <w:color w:val="auto"/>
          <w:highlight w:val="none"/>
        </w:rPr>
      </w:pPr>
    </w:p>
    <w:p>
      <w:pPr>
        <w:pStyle w:val="2"/>
        <w:rPr>
          <w:rFonts w:hint="eastAsia" w:ascii="宋体" w:hAnsi="宋体" w:cs="宋体"/>
          <w:b/>
          <w:color w:val="auto"/>
          <w:highlight w:val="none"/>
        </w:rPr>
      </w:pPr>
    </w:p>
    <w:p>
      <w:pPr>
        <w:rPr>
          <w:rFonts w:hint="eastAsia" w:ascii="宋体" w:hAnsi="宋体" w:cs="宋体"/>
          <w:b/>
          <w:color w:val="auto"/>
          <w:highlight w:val="none"/>
        </w:rPr>
      </w:pPr>
    </w:p>
    <w:p>
      <w:pPr>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rPr>
          <w:rFonts w:hint="eastAsia" w:ascii="宋体" w:hAnsi="宋体" w:cs="宋体"/>
          <w:b/>
          <w:color w:val="auto"/>
          <w:highlight w:val="none"/>
        </w:rPr>
      </w:pPr>
    </w:p>
    <w:p>
      <w:pPr>
        <w:spacing w:after="120"/>
        <w:jc w:val="center"/>
        <w:rPr>
          <w:rFonts w:hint="eastAsia" w:ascii="宋体" w:hAnsi="宋体" w:cs="宋体"/>
          <w:b/>
          <w:color w:val="auto"/>
          <w:sz w:val="24"/>
          <w:szCs w:val="24"/>
          <w:highlight w:val="none"/>
        </w:rPr>
      </w:pPr>
      <w:r>
        <w:rPr>
          <w:rFonts w:hint="eastAsia" w:ascii="宋体" w:hAnsi="宋体" w:cs="宋体"/>
          <w:b/>
          <w:color w:val="auto"/>
          <w:highlight w:val="none"/>
        </w:rPr>
        <w:t>技术评审表</w:t>
      </w:r>
    </w:p>
    <w:tbl>
      <w:tblPr>
        <w:tblStyle w:val="2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44"/>
        <w:gridCol w:w="670"/>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jc w:val="both"/>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jc w:val="both"/>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评议内容</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分值</w:t>
            </w:r>
          </w:p>
        </w:tc>
        <w:tc>
          <w:tcPr>
            <w:tcW w:w="644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firstLine="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所投产品对用户需求书中带▲号的重要技术参数的响应情况</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4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sz w:val="21"/>
                <w:szCs w:val="21"/>
              </w:rPr>
              <w:t>所投产品全部满足或优于用户需求书中带▲号的重要技术参数要求的，得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分。每一项负偏离扣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分，有</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项负偏离得0分。 须提供投标产品彩页及相应技术参数的厂家使用说明书作为技术证明文件，否则评标委员会有权视相应技术参数响应不符合招标要求（如厂家的产品使用说明书为英文版，请同时提供中文版）。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所投产品技术参数及性能与技术规格要求的响应情况 </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4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所投产品完全满足或优于用户需求书中不带▲号的一般技术参数要求的，得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分。每一项负偏离扣</w:t>
            </w:r>
            <w:r>
              <w:rPr>
                <w:rFonts w:hint="eastAsia" w:ascii="宋体" w:hAnsi="宋体" w:eastAsia="宋体" w:cs="宋体"/>
                <w:color w:val="auto"/>
                <w:sz w:val="21"/>
                <w:szCs w:val="21"/>
                <w:lang w:val="en-US" w:eastAsia="zh-CN"/>
              </w:rPr>
              <w:t>0.25</w:t>
            </w:r>
            <w:r>
              <w:rPr>
                <w:rFonts w:hint="eastAsia" w:ascii="宋体" w:hAnsi="宋体" w:eastAsia="宋体" w:cs="宋体"/>
                <w:color w:val="auto"/>
                <w:sz w:val="21"/>
                <w:szCs w:val="21"/>
              </w:rPr>
              <w:t>分，有</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项或以上负偏离得0分。 须提供投标产品彩页及相应技术参数的厂家使用说明书作为技术证明文件，否则评标委员会有权视相应技术参数响应不符合招标要求（如厂家的产品使用说明书为英文版，请同时提供中文版）。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项目实施方案</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442"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根据投标人针对本项目所提供的项目实施方案</w:t>
            </w:r>
            <w:r>
              <w:rPr>
                <w:rFonts w:hint="eastAsia" w:ascii="宋体" w:hAnsi="宋体" w:eastAsia="宋体" w:cs="宋体"/>
                <w:sz w:val="21"/>
                <w:szCs w:val="21"/>
                <w:lang w:eastAsia="zh-CN"/>
              </w:rPr>
              <w:t>，</w:t>
            </w:r>
            <w:r>
              <w:rPr>
                <w:rFonts w:hint="eastAsia" w:ascii="宋体" w:hAnsi="宋体" w:eastAsia="宋体" w:cs="宋体"/>
                <w:sz w:val="21"/>
                <w:szCs w:val="21"/>
              </w:rPr>
              <w:t xml:space="preserve">包括但不限于项目到货计划、项目实施计划、项目运输保障、安装调试（如计划步骤、人员安排等）等内容进行评审：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（1）投标人针对本项目有明确具体的计划安排、对每个标的设备的运输过程有针对性保障手段、设备到场时的专人安装调试有明确的安排措施，得</w:t>
            </w:r>
            <w:r>
              <w:rPr>
                <w:rFonts w:hint="eastAsia" w:ascii="宋体" w:hAnsi="宋体" w:eastAsia="宋体" w:cs="宋体"/>
                <w:sz w:val="21"/>
                <w:szCs w:val="21"/>
                <w:lang w:val="en-US" w:eastAsia="zh-CN"/>
              </w:rPr>
              <w:t>20</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）投标人针对本项目有</w:t>
            </w:r>
            <w:r>
              <w:rPr>
                <w:rFonts w:hint="eastAsia" w:ascii="宋体" w:hAnsi="宋体" w:eastAsia="宋体" w:cs="宋体"/>
                <w:sz w:val="21"/>
                <w:szCs w:val="21"/>
                <w:lang w:eastAsia="zh-CN"/>
              </w:rPr>
              <w:t>较</w:t>
            </w:r>
            <w:r>
              <w:rPr>
                <w:rFonts w:hint="eastAsia" w:ascii="宋体" w:hAnsi="宋体" w:eastAsia="宋体" w:cs="宋体"/>
                <w:sz w:val="21"/>
                <w:szCs w:val="21"/>
              </w:rPr>
              <w:t>具体的计划安排、对每个标的设备的运输过程有针对性保障手段、设备到场时的专人安装调试有</w:t>
            </w:r>
            <w:r>
              <w:rPr>
                <w:rFonts w:hint="eastAsia" w:ascii="宋体" w:hAnsi="宋体" w:eastAsia="宋体" w:cs="宋体"/>
                <w:sz w:val="21"/>
                <w:szCs w:val="21"/>
                <w:lang w:eastAsia="zh-CN"/>
              </w:rPr>
              <w:t>较</w:t>
            </w:r>
            <w:r>
              <w:rPr>
                <w:rFonts w:hint="eastAsia" w:ascii="宋体" w:hAnsi="宋体" w:eastAsia="宋体" w:cs="宋体"/>
                <w:sz w:val="21"/>
                <w:szCs w:val="21"/>
              </w:rPr>
              <w:t>明确的安排措施，得</w:t>
            </w: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）投标人针对本项目有简单的计划安排、对设备的运输过程有简单的保障手段、设备到场时的专人安装调试有简单的安排措施，得</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投标人针对本项目的计划安排、对设备的运输过程</w:t>
            </w:r>
            <w:r>
              <w:rPr>
                <w:rFonts w:hint="eastAsia" w:ascii="宋体" w:hAnsi="宋体" w:eastAsia="宋体" w:cs="宋体"/>
                <w:sz w:val="21"/>
                <w:szCs w:val="21"/>
                <w:lang w:eastAsia="zh-CN"/>
              </w:rPr>
              <w:t>不具有实施性、可行性，</w:t>
            </w:r>
            <w:r>
              <w:rPr>
                <w:rFonts w:hint="eastAsia" w:ascii="宋体" w:hAnsi="宋体" w:eastAsia="宋体" w:cs="宋体"/>
                <w:sz w:val="21"/>
                <w:szCs w:val="21"/>
              </w:rPr>
              <w:t>设备到场时的专人安装调试有简单的安排措施，得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质量保证方案</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4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sz w:val="21"/>
                <w:szCs w:val="21"/>
              </w:rPr>
              <w:t>根据投标人针对本项目所提供的</w:t>
            </w:r>
            <w:r>
              <w:rPr>
                <w:rFonts w:hint="eastAsia" w:ascii="宋体" w:hAnsi="宋体" w:eastAsia="宋体" w:cs="宋体"/>
                <w:sz w:val="21"/>
                <w:szCs w:val="21"/>
                <w:lang w:eastAsia="zh-CN"/>
              </w:rPr>
              <w:t>质量保证方案</w:t>
            </w:r>
            <w:r>
              <w:rPr>
                <w:rFonts w:hint="eastAsia" w:ascii="宋体" w:hAnsi="宋体" w:eastAsia="宋体" w:cs="宋体"/>
                <w:sz w:val="21"/>
                <w:szCs w:val="21"/>
              </w:rPr>
              <w:t>，方案内容包括但不限于质量保证体系、安全保障措施等内容进行评审：</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（1）质量保证方案</w:t>
            </w:r>
            <w:r>
              <w:rPr>
                <w:rFonts w:hint="eastAsia" w:ascii="宋体" w:hAnsi="宋体" w:eastAsia="宋体" w:cs="宋体"/>
                <w:color w:val="auto"/>
                <w:sz w:val="21"/>
                <w:szCs w:val="21"/>
              </w:rPr>
              <w:t>内容可行、有保障，有利于项目实施，完全满足</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（2）质量保证方案</w:t>
            </w:r>
            <w:r>
              <w:rPr>
                <w:rFonts w:hint="eastAsia" w:ascii="宋体" w:hAnsi="宋体" w:eastAsia="宋体" w:cs="宋体"/>
                <w:color w:val="auto"/>
                <w:sz w:val="21"/>
                <w:szCs w:val="21"/>
              </w:rPr>
              <w:t>内容详细</w:t>
            </w:r>
            <w:r>
              <w:rPr>
                <w:rFonts w:hint="eastAsia" w:ascii="宋体" w:hAnsi="宋体" w:eastAsia="宋体" w:cs="宋体"/>
                <w:color w:val="auto"/>
                <w:sz w:val="21"/>
                <w:szCs w:val="21"/>
                <w:lang w:eastAsia="zh-CN"/>
              </w:rPr>
              <w:t>但</w:t>
            </w:r>
            <w:r>
              <w:rPr>
                <w:rFonts w:hint="eastAsia" w:ascii="宋体" w:hAnsi="宋体" w:eastAsia="宋体" w:cs="宋体"/>
                <w:color w:val="auto"/>
                <w:sz w:val="21"/>
                <w:szCs w:val="21"/>
              </w:rPr>
              <w:t>不够具体、有保障，项目</w:t>
            </w:r>
            <w:r>
              <w:rPr>
                <w:rFonts w:hint="eastAsia" w:ascii="宋体" w:hAnsi="宋体" w:eastAsia="宋体" w:cs="宋体"/>
                <w:color w:val="auto"/>
                <w:sz w:val="21"/>
                <w:szCs w:val="21"/>
                <w:lang w:eastAsia="zh-CN"/>
              </w:rPr>
              <w:t>基本能</w:t>
            </w:r>
            <w:r>
              <w:rPr>
                <w:rFonts w:hint="eastAsia" w:ascii="宋体" w:hAnsi="宋体" w:eastAsia="宋体" w:cs="宋体"/>
                <w:color w:val="auto"/>
                <w:sz w:val="21"/>
                <w:szCs w:val="21"/>
              </w:rPr>
              <w:t>实施，</w:t>
            </w:r>
            <w:r>
              <w:rPr>
                <w:rFonts w:hint="eastAsia" w:ascii="宋体" w:hAnsi="宋体" w:eastAsia="宋体" w:cs="宋体"/>
                <w:color w:val="auto"/>
                <w:sz w:val="21"/>
                <w:szCs w:val="21"/>
                <w:lang w:eastAsia="zh-CN"/>
              </w:rPr>
              <w:t>部分能满足采购需求</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（3）质量保证方案</w:t>
            </w:r>
            <w:r>
              <w:rPr>
                <w:rFonts w:hint="eastAsia" w:ascii="宋体" w:hAnsi="宋体" w:eastAsia="宋体" w:cs="宋体"/>
                <w:color w:val="auto"/>
                <w:sz w:val="21"/>
                <w:szCs w:val="21"/>
              </w:rPr>
              <w:t>内容</w:t>
            </w:r>
            <w:r>
              <w:rPr>
                <w:rFonts w:hint="eastAsia" w:ascii="宋体" w:hAnsi="宋体" w:eastAsia="宋体" w:cs="宋体"/>
                <w:color w:val="auto"/>
                <w:sz w:val="21"/>
                <w:szCs w:val="21"/>
                <w:lang w:eastAsia="zh-CN"/>
              </w:rPr>
              <w:t>简单不清晰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无法</w:t>
            </w:r>
            <w:r>
              <w:rPr>
                <w:rFonts w:hint="eastAsia" w:ascii="宋体" w:hAnsi="宋体" w:eastAsia="宋体" w:cs="宋体"/>
                <w:color w:val="auto"/>
                <w:sz w:val="21"/>
                <w:szCs w:val="21"/>
              </w:rPr>
              <w:t>保障项目</w:t>
            </w:r>
            <w:r>
              <w:rPr>
                <w:rFonts w:hint="eastAsia" w:ascii="宋体" w:hAnsi="宋体" w:eastAsia="宋体" w:cs="宋体"/>
                <w:color w:val="auto"/>
                <w:sz w:val="21"/>
                <w:szCs w:val="21"/>
                <w:lang w:eastAsia="zh-CN"/>
              </w:rPr>
              <w:t>实施，可行性差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不完成能满足采购需求</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未提供不得分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培训方案</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442"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投标人根据产品特点及保养事项对采购人所使用设备人员提供设备操作及操作过程中注意事项等内容进行培训：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（1）投标人针对本项目为采购人提供有专人指导和简单上手的设备操作培训课程安排，有明确的课程及培训内容安排，对设备的操作过程中注意事项有详细指引，对特殊情况有图文详解及完整应对培训的，得</w:t>
            </w: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（2）投标人针对本项目为采购人提供有专人指导和简单上手的设备操作培训课程安排，有简单的课程及培训内容安排，对设备的操作过程中注意事项有基本操作指引，得</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（3）投标人提供指导和培训课程安排简单含糊，课程及培训内容安排不明确，对操作培训含糊其辞，得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rPr>
            </w:pPr>
            <w:r>
              <w:rPr>
                <w:rFonts w:hint="eastAsia" w:ascii="宋体" w:hAnsi="宋体"/>
                <w:sz w:val="21"/>
                <w:szCs w:val="21"/>
              </w:rPr>
              <w:t>突发事件的处理措施和应急预案</w:t>
            </w:r>
          </w:p>
        </w:tc>
        <w:tc>
          <w:tcPr>
            <w:tcW w:w="67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442"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根据</w:t>
            </w:r>
            <w:r>
              <w:rPr>
                <w:rFonts w:hint="eastAsia" w:ascii="宋体" w:hAnsi="宋体" w:eastAsia="宋体" w:cs="宋体"/>
                <w:sz w:val="21"/>
                <w:szCs w:val="21"/>
              </w:rPr>
              <w:t>投标人突发事件应急处理方案进行综合评审：</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针对临时性、突击性工作反应非常迅速，调配非常合理、安全，且对招标人特别委派任务时的应急处理非常到位，得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针对临时性、突击性工作反应迅速，调配合理、安全，且对招标人特别委派任务时的应急处理到位，得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针对临时性、突击性工作反应慢，调配欠缺合理、安全，且对招标人特别委派任务时的应急处理不到位，得2分；</w:t>
            </w:r>
            <w:r>
              <w:rPr>
                <w:rFonts w:hint="eastAsia" w:ascii="宋体" w:hAnsi="宋体" w:eastAsia="宋体" w:cs="宋体"/>
                <w:sz w:val="21"/>
                <w:szCs w:val="21"/>
              </w:rPr>
              <w:br w:type="textWrapping"/>
            </w:r>
            <w:r>
              <w:rPr>
                <w:rFonts w:hint="eastAsia" w:ascii="宋体" w:hAnsi="宋体" w:eastAsia="宋体" w:cs="宋体"/>
                <w:sz w:val="21"/>
                <w:szCs w:val="21"/>
              </w:rPr>
              <w:t>（4）不提供的不得分。</w:t>
            </w:r>
          </w:p>
        </w:tc>
      </w:tr>
    </w:tbl>
    <w:p>
      <w:pPr>
        <w:snapToGrid w:val="0"/>
        <w:spacing w:line="360" w:lineRule="auto"/>
        <w:rPr>
          <w:rFonts w:hint="eastAsia" w:ascii="宋体" w:hAnsi="宋体" w:cs="宋体"/>
          <w:snapToGrid w:val="0"/>
          <w:kern w:val="0"/>
          <w:sz w:val="24"/>
        </w:rPr>
      </w:pPr>
      <w:r>
        <w:rPr>
          <w:rFonts w:hint="eastAsia" w:ascii="宋体" w:hAnsi="宋体" w:cs="宋体"/>
          <w:snapToGrid w:val="0"/>
          <w:kern w:val="0"/>
          <w:sz w:val="24"/>
        </w:rPr>
        <w:br w:type="textWrapping"/>
      </w:r>
      <w:r>
        <w:rPr>
          <w:rFonts w:hint="eastAsia" w:ascii="宋体" w:hAnsi="宋体" w:cs="宋体"/>
          <w:snapToGrid w:val="0"/>
          <w:kern w:val="0"/>
          <w:sz w:val="24"/>
        </w:rPr>
        <w:br w:type="textWrapping"/>
      </w:r>
      <w:r>
        <w:rPr>
          <w:rFonts w:hint="eastAsia" w:ascii="宋体" w:hAnsi="宋体" w:cs="宋体"/>
          <w:snapToGrid w:val="0"/>
          <w:kern w:val="0"/>
          <w:sz w:val="24"/>
        </w:rPr>
        <w:br w:type="textWrapping"/>
      </w:r>
    </w:p>
    <w:p>
      <w:pPr>
        <w:spacing w:after="120"/>
        <w:jc w:val="center"/>
        <w:rPr>
          <w:rFonts w:hint="eastAsia" w:ascii="宋体" w:hAnsi="宋体" w:cs="宋体"/>
          <w:b/>
          <w:color w:val="auto"/>
          <w:sz w:val="24"/>
          <w:szCs w:val="24"/>
          <w:highlight w:val="none"/>
        </w:rPr>
      </w:pPr>
      <w:r>
        <w:rPr>
          <w:rFonts w:hint="eastAsia" w:ascii="宋体" w:hAnsi="宋体" w:cs="宋体"/>
          <w:b/>
          <w:color w:val="auto"/>
          <w:highlight w:val="none"/>
        </w:rPr>
        <w:t>商务评审表</w:t>
      </w:r>
    </w:p>
    <w:tbl>
      <w:tblPr>
        <w:tblStyle w:val="2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86"/>
        <w:gridCol w:w="649"/>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序号</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评议内容</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left="0" w:leftChars="0" w:firstLine="0" w:firstLineChars="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分值</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int="eastAsia" w:ascii="宋体" w:hAnsi="宋体" w:eastAsia="宋体" w:cs="宋体"/>
                <w:color w:val="auto"/>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投标人业绩</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lang w:eastAsia="zh-CN"/>
              </w:rPr>
            </w:pPr>
            <w:r>
              <w:rPr>
                <w:rFonts w:hint="eastAsia" w:ascii="宋体" w:hAnsi="宋体" w:eastAsia="宋体" w:cs="宋体"/>
                <w:bCs/>
                <w:color w:val="auto"/>
                <w:sz w:val="21"/>
                <w:szCs w:val="21"/>
                <w:lang w:val="en-US" w:eastAsia="zh-CN"/>
              </w:rPr>
              <w:t>2</w:t>
            </w:r>
          </w:p>
        </w:tc>
        <w:tc>
          <w:tcPr>
            <w:tcW w:w="5595"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年1月1日至今投标人的同类产品业绩，每提供一份有效的合同复印件得</w:t>
            </w:r>
            <w:r>
              <w:rPr>
                <w:rFonts w:hint="eastAsia" w:ascii="宋体" w:hAnsi="宋体" w:eastAsia="宋体" w:cs="宋体"/>
                <w:sz w:val="21"/>
                <w:szCs w:val="21"/>
                <w:lang w:val="en-US" w:eastAsia="zh-CN"/>
              </w:rPr>
              <w:t>0.5</w:t>
            </w:r>
            <w:r>
              <w:rPr>
                <w:rFonts w:hint="eastAsia" w:ascii="宋体" w:hAnsi="宋体" w:eastAsia="宋体" w:cs="宋体"/>
                <w:sz w:val="21"/>
                <w:szCs w:val="21"/>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Cs w:val="21"/>
              </w:rPr>
            </w:pPr>
            <w:r>
              <w:rPr>
                <w:rFonts w:hint="eastAsia" w:ascii="宋体" w:hAnsi="宋体" w:eastAsia="宋体" w:cs="宋体"/>
                <w:sz w:val="21"/>
                <w:szCs w:val="21"/>
              </w:rPr>
              <w:t>注：提供合同关键页复印件，合同关键页须有用户单位名称、项目名称、主要采购内容、双方落款盖章、合同签订日期。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int="eastAsia" w:ascii="宋体" w:hAnsi="宋体" w:eastAsia="宋体" w:cs="宋体"/>
                <w:color w:val="auto"/>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sz w:val="21"/>
                <w:szCs w:val="21"/>
              </w:rPr>
              <w:t>用户评价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2</w:t>
            </w:r>
          </w:p>
        </w:tc>
        <w:tc>
          <w:tcPr>
            <w:tcW w:w="5595"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上述有效的同类项目业绩中</w:t>
            </w:r>
            <w:r>
              <w:rPr>
                <w:rFonts w:hint="eastAsia" w:ascii="宋体" w:hAnsi="宋体" w:eastAsia="宋体" w:cs="宋体"/>
                <w:sz w:val="21"/>
                <w:szCs w:val="21"/>
                <w:lang w:eastAsia="zh-CN"/>
              </w:rPr>
              <w:t>，</w:t>
            </w:r>
            <w:r>
              <w:rPr>
                <w:rFonts w:hint="eastAsia" w:ascii="宋体" w:hAnsi="宋体" w:eastAsia="宋体" w:cs="宋体"/>
                <w:sz w:val="21"/>
                <w:szCs w:val="21"/>
              </w:rPr>
              <w:t>每提供</w:t>
            </w:r>
            <w:r>
              <w:rPr>
                <w:rFonts w:hint="eastAsia" w:ascii="宋体" w:hAnsi="宋体" w:eastAsia="宋体" w:cs="宋体"/>
                <w:sz w:val="21"/>
                <w:szCs w:val="21"/>
                <w:lang w:eastAsia="zh-CN"/>
              </w:rPr>
              <w:t>一</w:t>
            </w:r>
            <w:r>
              <w:rPr>
                <w:rFonts w:hint="eastAsia" w:ascii="宋体" w:hAnsi="宋体" w:eastAsia="宋体" w:cs="宋体"/>
                <w:sz w:val="21"/>
                <w:szCs w:val="21"/>
              </w:rPr>
              <w:t>份“优秀</w:t>
            </w:r>
            <w:r>
              <w:rPr>
                <w:rFonts w:hint="eastAsia" w:ascii="宋体" w:hAnsi="宋体" w:eastAsia="宋体" w:cs="宋体"/>
                <w:sz w:val="21"/>
                <w:szCs w:val="21"/>
                <w:lang w:val="en-US" w:eastAsia="zh-CN"/>
              </w:rPr>
              <w:t>/</w:t>
            </w:r>
            <w:r>
              <w:rPr>
                <w:rFonts w:hint="eastAsia" w:ascii="宋体" w:hAnsi="宋体" w:eastAsia="宋体" w:cs="宋体"/>
                <w:sz w:val="21"/>
                <w:szCs w:val="21"/>
              </w:rPr>
              <w:t>良好</w:t>
            </w:r>
            <w:r>
              <w:rPr>
                <w:rFonts w:hint="eastAsia" w:ascii="宋体" w:hAnsi="宋体" w:eastAsia="宋体" w:cs="宋体"/>
                <w:sz w:val="21"/>
                <w:szCs w:val="21"/>
                <w:lang w:val="en-US" w:eastAsia="zh-CN"/>
              </w:rPr>
              <w:t>/</w:t>
            </w:r>
            <w:r>
              <w:rPr>
                <w:rFonts w:hint="eastAsia" w:ascii="宋体" w:hAnsi="宋体" w:eastAsia="宋体" w:cs="宋体"/>
                <w:sz w:val="21"/>
                <w:szCs w:val="21"/>
              </w:rPr>
              <w:t>满意</w:t>
            </w:r>
            <w:r>
              <w:rPr>
                <w:rFonts w:hint="eastAsia" w:ascii="宋体" w:hAnsi="宋体" w:eastAsia="宋体" w:cs="宋体"/>
                <w:sz w:val="21"/>
                <w:szCs w:val="21"/>
                <w:lang w:val="en-US" w:eastAsia="zh-CN"/>
              </w:rPr>
              <w:t>/90分</w:t>
            </w:r>
            <w:r>
              <w:rPr>
                <w:rFonts w:hint="eastAsia" w:ascii="宋体" w:hAnsi="宋体" w:eastAsia="宋体" w:cs="宋体"/>
                <w:sz w:val="21"/>
                <w:szCs w:val="21"/>
              </w:rPr>
              <w:t>”</w:t>
            </w:r>
            <w:r>
              <w:rPr>
                <w:rFonts w:hint="eastAsia" w:ascii="宋体" w:hAnsi="宋体" w:eastAsia="宋体" w:cs="宋体"/>
                <w:sz w:val="21"/>
                <w:szCs w:val="21"/>
                <w:lang w:eastAsia="zh-CN"/>
              </w:rPr>
              <w:t>等正面</w:t>
            </w:r>
            <w:r>
              <w:rPr>
                <w:rFonts w:hint="eastAsia" w:ascii="宋体" w:hAnsi="宋体" w:eastAsia="宋体" w:cs="宋体"/>
                <w:sz w:val="21"/>
                <w:szCs w:val="21"/>
              </w:rPr>
              <w:t>的用户评价得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p>
          <w:p>
            <w:pPr>
              <w:pStyle w:val="47"/>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Cs w:val="21"/>
              </w:rPr>
            </w:pPr>
            <w:r>
              <w:rPr>
                <w:rFonts w:hint="eastAsia" w:ascii="宋体" w:hAnsi="宋体" w:eastAsia="宋体" w:cs="宋体"/>
                <w:sz w:val="21"/>
                <w:szCs w:val="21"/>
                <w:lang w:eastAsia="zh-CN"/>
              </w:rPr>
              <w:t>注：</w:t>
            </w:r>
            <w:r>
              <w:rPr>
                <w:rFonts w:hint="eastAsia" w:ascii="宋体" w:hAnsi="宋体" w:eastAsia="宋体" w:cs="宋体"/>
                <w:sz w:val="21"/>
                <w:szCs w:val="21"/>
              </w:rPr>
              <w:t>需提供盖有</w:t>
            </w:r>
            <w:r>
              <w:rPr>
                <w:rFonts w:hint="eastAsia" w:ascii="宋体" w:hAnsi="宋体" w:eastAsia="宋体" w:cs="宋体"/>
                <w:sz w:val="21"/>
                <w:szCs w:val="21"/>
                <w:lang w:eastAsia="zh-CN"/>
              </w:rPr>
              <w:t>用户</w:t>
            </w:r>
            <w:r>
              <w:rPr>
                <w:rFonts w:hint="eastAsia" w:ascii="宋体" w:hAnsi="宋体" w:eastAsia="宋体" w:cs="宋体"/>
                <w:sz w:val="21"/>
                <w:szCs w:val="21"/>
              </w:rPr>
              <w:t>或</w:t>
            </w:r>
            <w:r>
              <w:rPr>
                <w:rFonts w:hint="eastAsia" w:ascii="宋体" w:hAnsi="宋体" w:eastAsia="宋体" w:cs="宋体"/>
                <w:sz w:val="21"/>
                <w:szCs w:val="21"/>
                <w:lang w:eastAsia="zh-CN"/>
              </w:rPr>
              <w:t>用户</w:t>
            </w:r>
            <w:r>
              <w:rPr>
                <w:rFonts w:hint="eastAsia" w:ascii="宋体" w:hAnsi="宋体" w:eastAsia="宋体" w:cs="宋体"/>
                <w:sz w:val="21"/>
                <w:szCs w:val="21"/>
              </w:rPr>
              <w:t>主管部门印章的评价证明文件，不提供不得分。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int="eastAsia" w:ascii="宋体" w:hAnsi="宋体" w:eastAsia="宋体" w:cs="宋体"/>
                <w:color w:val="auto"/>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sz w:val="21"/>
                <w:szCs w:val="21"/>
              </w:rPr>
              <w:t>售后服务方案</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6</w:t>
            </w:r>
          </w:p>
        </w:tc>
        <w:tc>
          <w:tcPr>
            <w:tcW w:w="5595" w:type="dxa"/>
            <w:tcBorders>
              <w:top w:val="single" w:color="auto" w:sz="4" w:space="0"/>
              <w:left w:val="single" w:color="auto" w:sz="4" w:space="0"/>
              <w:bottom w:val="single" w:color="auto" w:sz="4" w:space="0"/>
              <w:right w:val="single" w:color="auto" w:sz="4" w:space="0"/>
            </w:tcBorders>
            <w:noWrap w:val="0"/>
            <w:vAlign w:val="top"/>
          </w:tcPr>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根据投标人针对本项目所提供的售后服务方案，方案内容包括但不限于售后服务人员的安排、售后服务计划安排、响应时间的及时性、提供备品备件服务等内容进行评审：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投标人所提供的质保期内和质保期后售后服务方案内容详细，有完整合理的部署规划，有安排专人负责响应采购人的维修要求及服务过程中的沟通，有专业的、具有相关资质的售后服务人员，对需维修的设备有完整可行操作的维修处理方法，对日常维修和应急情况响应及时，完全满足项目要求的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）投标人所提供的质保期内售后服务方案内容</w:t>
            </w:r>
            <w:r>
              <w:rPr>
                <w:rFonts w:hint="eastAsia" w:ascii="宋体" w:hAnsi="宋体" w:eastAsia="宋体" w:cs="宋体"/>
                <w:sz w:val="21"/>
                <w:szCs w:val="21"/>
                <w:lang w:eastAsia="zh-CN"/>
              </w:rPr>
              <w:t>一般</w:t>
            </w:r>
            <w:r>
              <w:rPr>
                <w:rFonts w:hint="eastAsia" w:ascii="宋体" w:hAnsi="宋体" w:eastAsia="宋体" w:cs="宋体"/>
                <w:sz w:val="21"/>
                <w:szCs w:val="21"/>
              </w:rPr>
              <w:t>，</w:t>
            </w:r>
            <w:r>
              <w:rPr>
                <w:rFonts w:hint="eastAsia" w:ascii="宋体" w:hAnsi="宋体" w:eastAsia="宋体" w:cs="宋体"/>
                <w:sz w:val="21"/>
                <w:szCs w:val="21"/>
                <w:lang w:eastAsia="zh-CN"/>
              </w:rPr>
              <w:t>有简单</w:t>
            </w:r>
            <w:r>
              <w:rPr>
                <w:rFonts w:hint="eastAsia" w:ascii="宋体" w:hAnsi="宋体" w:eastAsia="宋体" w:cs="宋体"/>
                <w:sz w:val="21"/>
                <w:szCs w:val="21"/>
              </w:rPr>
              <w:t>的部署规划，有安排专人负责响应采购人的维修要求及服务过程中的沟通，售后服务人员</w:t>
            </w:r>
            <w:r>
              <w:rPr>
                <w:rFonts w:hint="eastAsia" w:ascii="宋体" w:hAnsi="宋体" w:eastAsia="宋体" w:cs="宋体"/>
                <w:sz w:val="21"/>
                <w:szCs w:val="21"/>
                <w:lang w:eastAsia="zh-CN"/>
              </w:rPr>
              <w:t>不专业</w:t>
            </w:r>
            <w:r>
              <w:rPr>
                <w:rFonts w:hint="eastAsia" w:ascii="宋体" w:hAnsi="宋体" w:eastAsia="宋体" w:cs="宋体"/>
                <w:sz w:val="21"/>
                <w:szCs w:val="21"/>
              </w:rPr>
              <w:t>，对需维修的设备维修处理方法</w:t>
            </w:r>
            <w:r>
              <w:rPr>
                <w:rFonts w:hint="eastAsia" w:ascii="宋体" w:hAnsi="宋体" w:eastAsia="宋体" w:cs="宋体"/>
                <w:sz w:val="21"/>
                <w:szCs w:val="21"/>
                <w:lang w:eastAsia="zh-CN"/>
              </w:rPr>
              <w:t>不妥当</w:t>
            </w:r>
            <w:r>
              <w:rPr>
                <w:rFonts w:hint="eastAsia" w:ascii="宋体" w:hAnsi="宋体" w:eastAsia="宋体" w:cs="宋体"/>
                <w:sz w:val="21"/>
                <w:szCs w:val="21"/>
              </w:rPr>
              <w:t>，对日常维修和应急情况响应不够及时，部分满足项目要求的得</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）投标人只提供了简单的售后服务方案，维修服务安排无法满足项目要求，对日常维修和应急情况响应慢，或质保期不能满足项目要求的得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 </w:t>
            </w:r>
          </w:p>
          <w:p>
            <w:pPr>
              <w:pStyle w:val="47"/>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）不提供的不得分。</w:t>
            </w:r>
          </w:p>
        </w:tc>
      </w:tr>
    </w:tbl>
    <w:p>
      <w:pPr>
        <w:pStyle w:val="2"/>
        <w:rPr>
          <w:rFonts w:hint="eastAsia" w:ascii="宋体" w:hAnsi="宋体" w:cs="宋体"/>
          <w:snapToGrid w:val="0"/>
          <w:kern w:val="0"/>
          <w:sz w:val="24"/>
        </w:rPr>
      </w:pPr>
    </w:p>
    <w:p>
      <w:pPr>
        <w:rPr>
          <w:rFonts w:hint="eastAsia" w:ascii="宋体" w:hAnsi="宋体" w:cs="宋体"/>
          <w:snapToGrid w:val="0"/>
          <w:kern w:val="0"/>
          <w:sz w:val="24"/>
        </w:rPr>
      </w:pPr>
    </w:p>
    <w:p>
      <w:pPr>
        <w:snapToGrid w:val="0"/>
        <w:spacing w:line="360" w:lineRule="auto"/>
        <w:rPr>
          <w:rFonts w:ascii="宋体" w:hAnsi="宋体" w:cs="宋体"/>
          <w:snapToGrid w:val="0"/>
          <w:kern w:val="0"/>
          <w:sz w:val="24"/>
        </w:rPr>
      </w:pPr>
      <w:r>
        <w:rPr>
          <w:rFonts w:hint="eastAsia" w:ascii="宋体" w:hAnsi="宋体" w:cs="宋体"/>
          <w:snapToGrid w:val="0"/>
          <w:kern w:val="0"/>
          <w:sz w:val="24"/>
        </w:rPr>
        <w:t>备注：</w:t>
      </w:r>
    </w:p>
    <w:p>
      <w:pPr>
        <w:numPr>
          <w:ilvl w:val="0"/>
          <w:numId w:val="4"/>
        </w:numPr>
        <w:snapToGrid w:val="0"/>
        <w:spacing w:line="360" w:lineRule="auto"/>
        <w:ind w:hanging="240"/>
        <w:rPr>
          <w:rFonts w:hint="eastAsia" w:ascii="宋体" w:hAnsi="宋体"/>
          <w:bCs/>
          <w:sz w:val="24"/>
        </w:rPr>
      </w:pPr>
      <w:r>
        <w:rPr>
          <w:rFonts w:hint="eastAsia" w:ascii="宋体" w:hAnsi="宋体"/>
          <w:bCs/>
          <w:sz w:val="24"/>
        </w:rPr>
        <w:t>投标人应如实提交《综合评分表》要求提交的相关各类证明、资料等并应加盖投标人公章，投标人如未按要求提交的，该项评分为零分。</w:t>
      </w:r>
    </w:p>
    <w:p>
      <w:pPr>
        <w:numPr>
          <w:ilvl w:val="0"/>
          <w:numId w:val="4"/>
        </w:numPr>
        <w:snapToGrid w:val="0"/>
        <w:spacing w:line="360" w:lineRule="auto"/>
        <w:ind w:hanging="240"/>
        <w:rPr>
          <w:rFonts w:hint="eastAsia" w:ascii="宋体" w:hAnsi="宋体"/>
          <w:bCs/>
          <w:sz w:val="24"/>
        </w:rPr>
      </w:pPr>
      <w:r>
        <w:rPr>
          <w:rFonts w:hint="eastAsia" w:ascii="宋体" w:hAnsi="宋体"/>
          <w:bCs/>
          <w:sz w:val="24"/>
        </w:rPr>
        <w:t>技术、商务评分：评标委员会各成员分值的算术平均值（四舍五入后，</w:t>
      </w:r>
      <w:r>
        <w:rPr>
          <w:rFonts w:hint="eastAsia" w:ascii="宋体" w:hAnsi="宋体" w:cs="Arial"/>
          <w:sz w:val="24"/>
        </w:rPr>
        <w:t>小数点后保留两位有效数</w:t>
      </w:r>
      <w:r>
        <w:rPr>
          <w:rFonts w:hint="eastAsia" w:ascii="宋体" w:hAnsi="宋体"/>
          <w:bCs/>
          <w:sz w:val="24"/>
        </w:rPr>
        <w:t>）。</w:t>
      </w:r>
    </w:p>
    <w:p>
      <w:pPr>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rlett">
    <w:panose1 w:val="00000000000000000000"/>
    <w:charset w:val="00"/>
    <w:family w:val="auto"/>
    <w:pitch w:val="default"/>
    <w:sig w:usb0="00000000" w:usb1="00000000" w:usb2="00000000" w:usb3="00000000" w:csb0="80000000" w:csb1="00000000"/>
  </w:font>
  <w:font w:name="Nirmala UI Semilight">
    <w:panose1 w:val="020B04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5"/>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4EE32"/>
    <w:multiLevelType w:val="singleLevel"/>
    <w:tmpl w:val="E4B4EE32"/>
    <w:lvl w:ilvl="0" w:tentative="0">
      <w:start w:val="1"/>
      <w:numFmt w:val="decimal"/>
      <w:lvlText w:val="%1."/>
      <w:lvlJc w:val="left"/>
      <w:pPr>
        <w:tabs>
          <w:tab w:val="left" w:pos="312"/>
        </w:tabs>
      </w:pPr>
    </w:lvl>
  </w:abstractNum>
  <w:abstractNum w:abstractNumId="1">
    <w:nsid w:val="EF9F0697"/>
    <w:multiLevelType w:val="singleLevel"/>
    <w:tmpl w:val="EF9F0697"/>
    <w:lvl w:ilvl="0" w:tentative="0">
      <w:start w:val="3"/>
      <w:numFmt w:val="chineseCounting"/>
      <w:suff w:val="space"/>
      <w:lvlText w:val="第%1部分"/>
      <w:lvlJc w:val="left"/>
      <w:rPr>
        <w:rFonts w:hint="eastAsia"/>
      </w:rPr>
    </w:lvl>
  </w:abstractNum>
  <w:abstractNum w:abstractNumId="2">
    <w:nsid w:val="1B036568"/>
    <w:multiLevelType w:val="multilevel"/>
    <w:tmpl w:val="1B036568"/>
    <w:lvl w:ilvl="0" w:tentative="0">
      <w:start w:val="1"/>
      <w:numFmt w:val="decimal"/>
      <w:lvlText w:val="%1."/>
      <w:lvlJc w:val="left"/>
      <w:pPr>
        <w:tabs>
          <w:tab w:val="left" w:pos="562"/>
        </w:tabs>
        <w:ind w:left="562"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8D300A"/>
    <w:multiLevelType w:val="multilevel"/>
    <w:tmpl w:val="658D300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wNzQ5MzM4YjJhYzY1N2U4ZWI3OTgxNmYwN2EzMzEifQ=="/>
  </w:docVars>
  <w:rsids>
    <w:rsidRoot w:val="00ED4EA7"/>
    <w:rsid w:val="004F1AFE"/>
    <w:rsid w:val="007409D4"/>
    <w:rsid w:val="009A2A40"/>
    <w:rsid w:val="00ED4EA7"/>
    <w:rsid w:val="08AE6141"/>
    <w:rsid w:val="4529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index 8"/>
    <w:basedOn w:val="1"/>
    <w:next w:val="1"/>
    <w:qFormat/>
    <w:uiPriority w:val="0"/>
    <w:pPr>
      <w:ind w:left="1400" w:leftChars="1400"/>
    </w:pPr>
    <w:rPr>
      <w:szCs w:val="24"/>
    </w:rPr>
  </w:style>
  <w:style w:type="paragraph" w:styleId="12">
    <w:name w:val="Normal Indent"/>
    <w:basedOn w:val="1"/>
    <w:next w:val="11"/>
    <w:link w:val="44"/>
    <w:qFormat/>
    <w:uiPriority w:val="0"/>
    <w:pPr>
      <w:ind w:firstLine="420" w:firstLineChars="200"/>
    </w:pPr>
    <w:rPr>
      <w:szCs w:val="21"/>
    </w:rPr>
  </w:style>
  <w:style w:type="paragraph" w:styleId="13">
    <w:name w:val="Body Text"/>
    <w:basedOn w:val="1"/>
    <w:next w:val="1"/>
    <w:unhideWhenUsed/>
    <w:qFormat/>
    <w:uiPriority w:val="99"/>
    <w:pPr>
      <w:spacing w:after="120"/>
    </w:pPr>
  </w:style>
  <w:style w:type="paragraph" w:styleId="14">
    <w:name w:val="Plain Text"/>
    <w:basedOn w:val="1"/>
    <w:link w:val="42"/>
    <w:qFormat/>
    <w:uiPriority w:val="0"/>
    <w:rPr>
      <w:rFonts w:ascii="宋体" w:hAnsi="Courier New" w:cs="Courier New" w:eastAsiaTheme="minorEastAsia"/>
      <w:szCs w:val="21"/>
    </w:rPr>
  </w:style>
  <w:style w:type="paragraph" w:styleId="15">
    <w:name w:val="footer"/>
    <w:basedOn w:val="1"/>
    <w:semiHidden/>
    <w:unhideWhenUsed/>
    <w:uiPriority w:val="99"/>
    <w:pPr>
      <w:tabs>
        <w:tab w:val="center" w:pos="4153"/>
        <w:tab w:val="right" w:pos="8306"/>
      </w:tabs>
      <w:snapToGrid w:val="0"/>
      <w:jc w:val="left"/>
    </w:pPr>
    <w:rPr>
      <w:sz w:val="18"/>
    </w:rPr>
  </w:style>
  <w:style w:type="paragraph" w:styleId="1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Body Text 2"/>
    <w:basedOn w:val="1"/>
    <w:next w:val="1"/>
    <w:qFormat/>
    <w:uiPriority w:val="0"/>
    <w:pPr>
      <w:autoSpaceDE w:val="0"/>
      <w:autoSpaceDN w:val="0"/>
      <w:adjustRightInd w:val="0"/>
    </w:pPr>
    <w:rPr>
      <w:rFonts w:ascii="宋体" w:eastAsia="宋体"/>
      <w:sz w:val="28"/>
    </w:rPr>
  </w:style>
  <w:style w:type="paragraph" w:styleId="19">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rFonts w:eastAsia="宋体"/>
      <w:color w:val="0000FF"/>
      <w:sz w:val="28"/>
      <w:u w:val="single"/>
    </w:rPr>
  </w:style>
  <w:style w:type="character" w:customStyle="1" w:styleId="24">
    <w:name w:val="标题 1 字符"/>
    <w:basedOn w:val="22"/>
    <w:link w:val="3"/>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2"/>
    <w:link w:val="2"/>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2"/>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2"/>
    <w:link w:val="5"/>
    <w:semiHidden/>
    <w:qFormat/>
    <w:uiPriority w:val="9"/>
    <w:rPr>
      <w:rFonts w:cstheme="majorBidi"/>
      <w:color w:val="104862" w:themeColor="accent1" w:themeShade="BF"/>
      <w:sz w:val="28"/>
      <w:szCs w:val="28"/>
    </w:rPr>
  </w:style>
  <w:style w:type="character" w:customStyle="1" w:styleId="28">
    <w:name w:val="标题 5 字符"/>
    <w:basedOn w:val="22"/>
    <w:link w:val="6"/>
    <w:semiHidden/>
    <w:qFormat/>
    <w:uiPriority w:val="9"/>
    <w:rPr>
      <w:rFonts w:cstheme="majorBidi"/>
      <w:color w:val="104862" w:themeColor="accent1" w:themeShade="BF"/>
      <w:sz w:val="24"/>
      <w:szCs w:val="24"/>
    </w:rPr>
  </w:style>
  <w:style w:type="character" w:customStyle="1" w:styleId="29">
    <w:name w:val="标题 6 字符"/>
    <w:basedOn w:val="22"/>
    <w:link w:val="7"/>
    <w:semiHidden/>
    <w:qFormat/>
    <w:uiPriority w:val="9"/>
    <w:rPr>
      <w:rFonts w:cstheme="majorBidi"/>
      <w:b/>
      <w:bCs/>
      <w:color w:val="104862" w:themeColor="accent1" w:themeShade="BF"/>
    </w:rPr>
  </w:style>
  <w:style w:type="character" w:customStyle="1" w:styleId="30">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2"/>
    <w:link w:val="19"/>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2"/>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22"/>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2"/>
    <w:link w:val="39"/>
    <w:qFormat/>
    <w:uiPriority w:val="30"/>
    <w:rPr>
      <w:i/>
      <w:iCs/>
      <w:color w:val="104862" w:themeColor="accent1" w:themeShade="BF"/>
    </w:rPr>
  </w:style>
  <w:style w:type="character" w:customStyle="1" w:styleId="41">
    <w:name w:val="Intense Reference"/>
    <w:basedOn w:val="22"/>
    <w:qFormat/>
    <w:uiPriority w:val="32"/>
    <w:rPr>
      <w:b/>
      <w:bCs/>
      <w:smallCaps/>
      <w:color w:val="104862" w:themeColor="accent1" w:themeShade="BF"/>
      <w:spacing w:val="5"/>
    </w:rPr>
  </w:style>
  <w:style w:type="character" w:customStyle="1" w:styleId="42">
    <w:name w:val="纯文本 字符"/>
    <w:basedOn w:val="22"/>
    <w:link w:val="14"/>
    <w:qFormat/>
    <w:uiPriority w:val="0"/>
    <w:rPr>
      <w:rFonts w:ascii="宋体" w:hAnsi="Courier New" w:cs="Courier New"/>
      <w:szCs w:val="21"/>
    </w:rPr>
  </w:style>
  <w:style w:type="paragraph" w:customStyle="1" w:styleId="4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4">
    <w:name w:val="正文缩进 字符"/>
    <w:link w:val="12"/>
    <w:qFormat/>
    <w:uiPriority w:val="0"/>
    <w:rPr>
      <w:rFonts w:ascii="Times New Roman" w:hAnsi="Times New Roman" w:eastAsia="宋体" w:cs="Times New Roman"/>
      <w:szCs w:val="21"/>
    </w:rPr>
  </w:style>
  <w:style w:type="paragraph" w:customStyle="1" w:styleId="45">
    <w:name w:val="正文文本缩进1"/>
    <w:basedOn w:val="13"/>
    <w:qFormat/>
    <w:uiPriority w:val="0"/>
    <w:pPr>
      <w:ind w:firstLine="830" w:firstLineChars="352"/>
    </w:pPr>
    <w:rPr>
      <w:rFonts w:ascii="仿宋_GB2312" w:eastAsia="仿宋_GB2312"/>
      <w:sz w:val="32"/>
    </w:rPr>
  </w:style>
  <w:style w:type="character" w:customStyle="1" w:styleId="46">
    <w:name w:val="NormalCharacter"/>
    <w:qFormat/>
    <w:uiPriority w:val="0"/>
  </w:style>
  <w:style w:type="paragraph" w:customStyle="1" w:styleId="47">
    <w:name w:val="null3"/>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6288</Words>
  <Characters>6560</Characters>
  <Lines>48</Lines>
  <Paragraphs>13</Paragraphs>
  <TotalTime>3</TotalTime>
  <ScaleCrop>false</ScaleCrop>
  <LinksUpToDate>false</LinksUpToDate>
  <CharactersWithSpaces>6582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2025-08-07T00:47:00Z</dcterms:created>
  <dc:creator>360598736@qq.com</dc:creator>
  <cp:lastModifiedBy>administrator</cp:lastModifiedBy>
  <dcterms:modified xsi:type="dcterms:W3CDTF">2025-08-07T06:28:57Z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C759BD86D38A4F4CA6CD86B8031F1DB4</vt:lpwstr>
  </property>
</Properties>
</file>