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采购人需求书</w:t>
      </w:r>
    </w:p>
    <w:p>
      <w:pPr>
        <w:shd w:val="clear"/>
        <w:ind w:right="-94"/>
        <w:rPr>
          <w:rFonts w:ascii="宋体" w:hAnsi="宋体" w:cs="宋体"/>
          <w:b/>
          <w:bCs/>
          <w:color w:val="auto"/>
          <w:sz w:val="24"/>
          <w:highlight w:val="none"/>
        </w:rPr>
      </w:pPr>
      <w:bookmarkStart w:id="0" w:name="_Toc12096415"/>
      <w:bookmarkStart w:id="1" w:name="_Toc318644140"/>
      <w:bookmarkStart w:id="2" w:name="_Toc75917300"/>
      <w:bookmarkStart w:id="3" w:name="_Toc395878420"/>
      <w:bookmarkStart w:id="4" w:name="_Toc529104497"/>
      <w:bookmarkStart w:id="5" w:name="_Toc395729193"/>
      <w:bookmarkStart w:id="6" w:name="_Toc113852742"/>
      <w:bookmarkStart w:id="7" w:name="_Toc329341211"/>
      <w:bookmarkStart w:id="8" w:name="_Toc12118335"/>
      <w:bookmarkStart w:id="9" w:name="_Toc387413616"/>
      <w:bookmarkStart w:id="10" w:name="_Toc395878291"/>
      <w:bookmarkStart w:id="11" w:name="_Toc395729671"/>
      <w:r>
        <w:rPr>
          <w:rFonts w:hint="eastAsia" w:ascii="宋体" w:hAnsi="宋体" w:cs="宋体"/>
          <w:b/>
          <w:bCs/>
          <w:color w:val="auto"/>
          <w:spacing w:val="2"/>
          <w:sz w:val="24"/>
          <w:highlight w:val="none"/>
        </w:rPr>
        <w:t>说明</w:t>
      </w:r>
      <w:r>
        <w:rPr>
          <w:rFonts w:hint="eastAsia" w:ascii="宋体" w:hAnsi="宋体" w:cs="宋体"/>
          <w:b/>
          <w:bCs/>
          <w:color w:val="auto"/>
          <w:sz w:val="24"/>
          <w:highlight w:val="none"/>
        </w:rPr>
        <w:t>：</w:t>
      </w:r>
    </w:p>
    <w:p>
      <w:pPr>
        <w:shd w:val="clear"/>
        <w:spacing w:before="1" w:line="100" w:lineRule="exact"/>
        <w:jc w:val="left"/>
        <w:rPr>
          <w:rFonts w:ascii="宋体" w:hAnsi="宋体" w:cs="宋体"/>
          <w:b/>
          <w:bCs/>
          <w:color w:val="auto"/>
          <w:sz w:val="24"/>
          <w:highlight w:val="none"/>
        </w:rPr>
      </w:pPr>
    </w:p>
    <w:p>
      <w:pPr>
        <w:shd w:val="clear"/>
        <w:tabs>
          <w:tab w:val="left" w:pos="620"/>
        </w:tabs>
        <w:spacing w:line="360" w:lineRule="auto"/>
        <w:ind w:left="633" w:right="112" w:hanging="420"/>
        <w:jc w:val="left"/>
        <w:rPr>
          <w:rFonts w:ascii="宋体" w:hAnsi="宋体" w:cs="宋体"/>
          <w:b/>
          <w:bCs/>
          <w:color w:val="auto"/>
          <w:sz w:val="24"/>
          <w:highlight w:val="none"/>
        </w:rPr>
      </w:pPr>
      <w:r>
        <w:rPr>
          <w:rFonts w:hint="eastAsia" w:ascii="宋体" w:hAnsi="宋体" w:cs="宋体"/>
          <w:b/>
          <w:bCs/>
          <w:color w:val="auto"/>
          <w:spacing w:val="3"/>
          <w:sz w:val="24"/>
          <w:highlight w:val="none"/>
        </w:rPr>
        <w:t>1</w:t>
      </w:r>
      <w:r>
        <w:rPr>
          <w:rFonts w:hint="eastAsia" w:ascii="宋体" w:hAnsi="宋体" w:cs="宋体"/>
          <w:b/>
          <w:bCs/>
          <w:color w:val="auto"/>
          <w:sz w:val="24"/>
          <w:highlight w:val="none"/>
        </w:rPr>
        <w:t>.</w:t>
      </w:r>
      <w:r>
        <w:rPr>
          <w:rFonts w:hint="eastAsia" w:ascii="宋体" w:hAnsi="宋体" w:cs="宋体"/>
          <w:b/>
          <w:bCs/>
          <w:color w:val="auto"/>
          <w:sz w:val="24"/>
          <w:highlight w:val="none"/>
        </w:rPr>
        <w:tab/>
      </w:r>
      <w:r>
        <w:rPr>
          <w:rFonts w:hint="eastAsia" w:ascii="宋体" w:hAnsi="宋体" w:cs="宋体"/>
          <w:b/>
          <w:bCs/>
          <w:color w:val="auto"/>
          <w:spacing w:val="2"/>
          <w:sz w:val="24"/>
          <w:highlight w:val="none"/>
        </w:rPr>
        <w:t>投标</w:t>
      </w:r>
      <w:r>
        <w:rPr>
          <w:rFonts w:hint="eastAsia" w:ascii="宋体" w:hAnsi="宋体" w:cs="宋体"/>
          <w:b/>
          <w:bCs/>
          <w:color w:val="auto"/>
          <w:spacing w:val="5"/>
          <w:sz w:val="24"/>
          <w:highlight w:val="none"/>
        </w:rPr>
        <w:t>人</w:t>
      </w:r>
      <w:r>
        <w:rPr>
          <w:rFonts w:hint="eastAsia" w:ascii="宋体" w:hAnsi="宋体" w:cs="宋体"/>
          <w:b/>
          <w:bCs/>
          <w:color w:val="auto"/>
          <w:spacing w:val="2"/>
          <w:sz w:val="24"/>
          <w:highlight w:val="none"/>
        </w:rPr>
        <w:t>须对本项</w:t>
      </w:r>
      <w:r>
        <w:rPr>
          <w:rFonts w:hint="eastAsia" w:ascii="宋体" w:hAnsi="宋体" w:cs="宋体"/>
          <w:b/>
          <w:bCs/>
          <w:color w:val="auto"/>
          <w:spacing w:val="5"/>
          <w:sz w:val="24"/>
          <w:highlight w:val="none"/>
        </w:rPr>
        <w:t>目</w:t>
      </w:r>
      <w:r>
        <w:rPr>
          <w:rFonts w:hint="eastAsia" w:ascii="宋体" w:hAnsi="宋体" w:cs="宋体"/>
          <w:b/>
          <w:bCs/>
          <w:color w:val="auto"/>
          <w:spacing w:val="2"/>
          <w:sz w:val="24"/>
          <w:highlight w:val="none"/>
        </w:rPr>
        <w:t>为单位的货</w:t>
      </w:r>
      <w:r>
        <w:rPr>
          <w:rFonts w:hint="eastAsia" w:ascii="宋体" w:hAnsi="宋体" w:cs="宋体"/>
          <w:b/>
          <w:bCs/>
          <w:color w:val="auto"/>
          <w:spacing w:val="5"/>
          <w:sz w:val="24"/>
          <w:highlight w:val="none"/>
        </w:rPr>
        <w:t>物</w:t>
      </w:r>
      <w:r>
        <w:rPr>
          <w:rFonts w:hint="eastAsia" w:ascii="宋体" w:hAnsi="宋体" w:cs="宋体"/>
          <w:b/>
          <w:bCs/>
          <w:color w:val="auto"/>
          <w:spacing w:val="2"/>
          <w:sz w:val="24"/>
          <w:highlight w:val="none"/>
        </w:rPr>
        <w:t>及服务进</w:t>
      </w:r>
      <w:r>
        <w:rPr>
          <w:rFonts w:hint="eastAsia" w:ascii="宋体" w:hAnsi="宋体" w:cs="宋体"/>
          <w:b/>
          <w:bCs/>
          <w:color w:val="auto"/>
          <w:spacing w:val="5"/>
          <w:sz w:val="24"/>
          <w:highlight w:val="none"/>
        </w:rPr>
        <w:t>行</w:t>
      </w:r>
      <w:r>
        <w:rPr>
          <w:rFonts w:hint="eastAsia" w:ascii="宋体" w:hAnsi="宋体" w:cs="宋体"/>
          <w:b/>
          <w:bCs/>
          <w:color w:val="auto"/>
          <w:spacing w:val="2"/>
          <w:sz w:val="24"/>
          <w:highlight w:val="none"/>
        </w:rPr>
        <w:t>整体投</w:t>
      </w:r>
      <w:r>
        <w:rPr>
          <w:rFonts w:hint="eastAsia" w:ascii="宋体" w:hAnsi="宋体" w:cs="宋体"/>
          <w:b/>
          <w:bCs/>
          <w:color w:val="auto"/>
          <w:spacing w:val="5"/>
          <w:sz w:val="24"/>
          <w:highlight w:val="none"/>
        </w:rPr>
        <w:t>标</w:t>
      </w:r>
      <w:r>
        <w:rPr>
          <w:rFonts w:hint="eastAsia" w:ascii="宋体" w:hAnsi="宋体" w:cs="宋体"/>
          <w:b/>
          <w:bCs/>
          <w:color w:val="auto"/>
          <w:spacing w:val="-55"/>
          <w:sz w:val="24"/>
          <w:highlight w:val="none"/>
        </w:rPr>
        <w:t>，</w:t>
      </w:r>
      <w:r>
        <w:rPr>
          <w:rFonts w:hint="eastAsia" w:ascii="宋体" w:hAnsi="宋体" w:cs="宋体"/>
          <w:b/>
          <w:bCs/>
          <w:color w:val="auto"/>
          <w:spacing w:val="2"/>
          <w:sz w:val="24"/>
          <w:highlight w:val="none"/>
        </w:rPr>
        <w:t>任何</w:t>
      </w:r>
      <w:r>
        <w:rPr>
          <w:rFonts w:hint="eastAsia" w:ascii="宋体" w:hAnsi="宋体" w:cs="宋体"/>
          <w:b/>
          <w:bCs/>
          <w:color w:val="auto"/>
          <w:spacing w:val="5"/>
          <w:sz w:val="24"/>
          <w:highlight w:val="none"/>
        </w:rPr>
        <w:t>只</w:t>
      </w:r>
      <w:r>
        <w:rPr>
          <w:rFonts w:hint="eastAsia" w:ascii="宋体" w:hAnsi="宋体" w:cs="宋体"/>
          <w:b/>
          <w:bCs/>
          <w:color w:val="auto"/>
          <w:spacing w:val="2"/>
          <w:sz w:val="24"/>
          <w:highlight w:val="none"/>
        </w:rPr>
        <w:t>对本项目</w:t>
      </w:r>
      <w:r>
        <w:rPr>
          <w:rFonts w:hint="eastAsia" w:ascii="宋体" w:hAnsi="宋体" w:cs="宋体"/>
          <w:b/>
          <w:bCs/>
          <w:color w:val="auto"/>
          <w:spacing w:val="5"/>
          <w:sz w:val="24"/>
          <w:highlight w:val="none"/>
        </w:rPr>
        <w:t>其</w:t>
      </w:r>
      <w:r>
        <w:rPr>
          <w:rFonts w:hint="eastAsia" w:ascii="宋体" w:hAnsi="宋体" w:cs="宋体"/>
          <w:b/>
          <w:bCs/>
          <w:color w:val="auto"/>
          <w:spacing w:val="2"/>
          <w:sz w:val="24"/>
          <w:highlight w:val="none"/>
        </w:rPr>
        <w:t>中一部分内</w:t>
      </w:r>
      <w:r>
        <w:rPr>
          <w:rFonts w:hint="eastAsia" w:ascii="宋体" w:hAnsi="宋体" w:cs="宋体"/>
          <w:b/>
          <w:bCs/>
          <w:color w:val="auto"/>
          <w:spacing w:val="5"/>
          <w:sz w:val="24"/>
          <w:highlight w:val="none"/>
        </w:rPr>
        <w:t>容</w:t>
      </w:r>
      <w:r>
        <w:rPr>
          <w:rFonts w:hint="eastAsia" w:ascii="宋体" w:hAnsi="宋体" w:cs="宋体"/>
          <w:b/>
          <w:bCs/>
          <w:color w:val="auto"/>
          <w:spacing w:val="2"/>
          <w:sz w:val="24"/>
          <w:highlight w:val="none"/>
        </w:rPr>
        <w:t>进行的投</w:t>
      </w:r>
      <w:r>
        <w:rPr>
          <w:rFonts w:hint="eastAsia" w:ascii="宋体" w:hAnsi="宋体" w:cs="宋体"/>
          <w:b/>
          <w:bCs/>
          <w:color w:val="auto"/>
          <w:spacing w:val="5"/>
          <w:sz w:val="24"/>
          <w:highlight w:val="none"/>
        </w:rPr>
        <w:t>标</w:t>
      </w:r>
      <w:r>
        <w:rPr>
          <w:rFonts w:hint="eastAsia" w:ascii="宋体" w:hAnsi="宋体" w:cs="宋体"/>
          <w:b/>
          <w:bCs/>
          <w:color w:val="auto"/>
          <w:sz w:val="24"/>
          <w:highlight w:val="none"/>
        </w:rPr>
        <w:t>都</w:t>
      </w:r>
      <w:r>
        <w:rPr>
          <w:rFonts w:hint="eastAsia" w:ascii="宋体" w:hAnsi="宋体" w:cs="宋体"/>
          <w:b/>
          <w:bCs/>
          <w:color w:val="auto"/>
          <w:spacing w:val="2"/>
          <w:sz w:val="24"/>
          <w:highlight w:val="none"/>
        </w:rPr>
        <w:t>被视为</w:t>
      </w:r>
      <w:r>
        <w:rPr>
          <w:rFonts w:hint="eastAsia" w:ascii="宋体" w:hAnsi="宋体" w:cs="宋体"/>
          <w:b/>
          <w:bCs/>
          <w:color w:val="auto"/>
          <w:sz w:val="24"/>
          <w:highlight w:val="none"/>
        </w:rPr>
        <w:t>无</w:t>
      </w:r>
      <w:r>
        <w:rPr>
          <w:rFonts w:hint="eastAsia" w:ascii="宋体" w:hAnsi="宋体" w:cs="宋体"/>
          <w:b/>
          <w:bCs/>
          <w:color w:val="auto"/>
          <w:spacing w:val="2"/>
          <w:sz w:val="24"/>
          <w:highlight w:val="none"/>
        </w:rPr>
        <w:t>效投标</w:t>
      </w:r>
      <w:r>
        <w:rPr>
          <w:rFonts w:hint="eastAsia" w:ascii="宋体" w:hAnsi="宋体" w:cs="宋体"/>
          <w:b/>
          <w:bCs/>
          <w:color w:val="auto"/>
          <w:sz w:val="24"/>
          <w:highlight w:val="none"/>
        </w:rPr>
        <w:t>。</w:t>
      </w:r>
    </w:p>
    <w:p>
      <w:pPr>
        <w:shd w:val="clear"/>
        <w:tabs>
          <w:tab w:val="left" w:pos="620"/>
        </w:tabs>
        <w:spacing w:line="360" w:lineRule="auto"/>
        <w:ind w:left="633" w:right="112" w:hanging="420"/>
        <w:jc w:val="left"/>
        <w:rPr>
          <w:rFonts w:ascii="宋体" w:hAnsi="宋体" w:cs="宋体"/>
          <w:b/>
          <w:bCs/>
          <w:color w:val="auto"/>
          <w:spacing w:val="5"/>
          <w:sz w:val="24"/>
          <w:highlight w:val="none"/>
        </w:rPr>
      </w:pPr>
      <w:r>
        <w:rPr>
          <w:rFonts w:hint="eastAsia" w:ascii="宋体" w:hAnsi="宋体" w:cs="宋体"/>
          <w:b/>
          <w:bCs/>
          <w:color w:val="auto"/>
          <w:spacing w:val="5"/>
          <w:sz w:val="24"/>
          <w:highlight w:val="none"/>
        </w:rPr>
        <w:t>2. 招标文件中如有打“★”号条款为实质性条款，投标人若有任何一条负偏离或不满足则导致投标无效。</w:t>
      </w:r>
    </w:p>
    <w:p>
      <w:pPr>
        <w:shd w:val="clear"/>
        <w:tabs>
          <w:tab w:val="left" w:pos="620"/>
        </w:tabs>
        <w:spacing w:before="82" w:line="360" w:lineRule="auto"/>
        <w:ind w:left="633" w:right="117" w:hanging="420"/>
        <w:jc w:val="left"/>
        <w:rPr>
          <w:rFonts w:ascii="宋体" w:hAnsi="宋体" w:cs="宋体"/>
          <w:b/>
          <w:bCs/>
          <w:color w:val="auto"/>
          <w:sz w:val="24"/>
          <w:highlight w:val="none"/>
        </w:rPr>
      </w:pPr>
      <w:r>
        <w:rPr>
          <w:rFonts w:hint="eastAsia" w:ascii="宋体" w:hAnsi="宋体" w:cs="宋体"/>
          <w:b/>
          <w:bCs/>
          <w:color w:val="auto"/>
          <w:spacing w:val="3"/>
          <w:sz w:val="24"/>
          <w:highlight w:val="none"/>
        </w:rPr>
        <w:t>3</w:t>
      </w:r>
      <w:r>
        <w:rPr>
          <w:rFonts w:hint="eastAsia" w:ascii="宋体" w:hAnsi="宋体" w:cs="宋体"/>
          <w:b/>
          <w:bCs/>
          <w:color w:val="auto"/>
          <w:sz w:val="24"/>
          <w:highlight w:val="none"/>
        </w:rPr>
        <w:t>.</w:t>
      </w:r>
      <w:r>
        <w:rPr>
          <w:rFonts w:hint="eastAsia" w:ascii="宋体" w:hAnsi="宋体" w:cs="宋体"/>
          <w:b/>
          <w:bCs/>
          <w:color w:val="auto"/>
          <w:sz w:val="24"/>
          <w:highlight w:val="none"/>
        </w:rPr>
        <w:tab/>
      </w:r>
      <w:r>
        <w:rPr>
          <w:rFonts w:hint="eastAsia" w:ascii="宋体" w:hAnsi="宋体" w:cs="宋体"/>
          <w:b/>
          <w:bCs/>
          <w:color w:val="auto"/>
          <w:spacing w:val="2"/>
          <w:sz w:val="24"/>
          <w:highlight w:val="none"/>
        </w:rPr>
        <w:t>招标文</w:t>
      </w:r>
      <w:r>
        <w:rPr>
          <w:rFonts w:hint="eastAsia" w:ascii="宋体" w:hAnsi="宋体" w:cs="宋体"/>
          <w:b/>
          <w:bCs/>
          <w:color w:val="auto"/>
          <w:spacing w:val="5"/>
          <w:sz w:val="24"/>
          <w:highlight w:val="none"/>
        </w:rPr>
        <w:t>件</w:t>
      </w:r>
      <w:r>
        <w:rPr>
          <w:rFonts w:hint="eastAsia" w:ascii="宋体" w:hAnsi="宋体" w:cs="宋体"/>
          <w:b/>
          <w:bCs/>
          <w:color w:val="auto"/>
          <w:spacing w:val="2"/>
          <w:sz w:val="24"/>
          <w:highlight w:val="none"/>
        </w:rPr>
        <w:t>中如有打</w:t>
      </w:r>
      <w:r>
        <w:rPr>
          <w:rFonts w:hint="eastAsia" w:ascii="宋体" w:hAnsi="宋体" w:cs="宋体"/>
          <w:b/>
          <w:bCs/>
          <w:color w:val="auto"/>
          <w:spacing w:val="3"/>
          <w:sz w:val="24"/>
          <w:highlight w:val="none"/>
        </w:rPr>
        <w:t>“</w:t>
      </w:r>
      <w:r>
        <w:rPr>
          <w:rFonts w:hint="eastAsia" w:ascii="宋体" w:hAnsi="宋体" w:cs="宋体"/>
          <w:b/>
          <w:bCs/>
          <w:color w:val="auto"/>
          <w:spacing w:val="2"/>
          <w:sz w:val="24"/>
          <w:highlight w:val="none"/>
        </w:rPr>
        <w:t>▲</w:t>
      </w:r>
      <w:r>
        <w:rPr>
          <w:rFonts w:hint="eastAsia" w:ascii="宋体" w:hAnsi="宋体" w:cs="宋体"/>
          <w:b/>
          <w:bCs/>
          <w:color w:val="auto"/>
          <w:spacing w:val="1"/>
          <w:sz w:val="24"/>
          <w:highlight w:val="none"/>
        </w:rPr>
        <w:t>”</w:t>
      </w:r>
      <w:r>
        <w:rPr>
          <w:rFonts w:hint="eastAsia" w:ascii="宋体" w:hAnsi="宋体" w:cs="宋体"/>
          <w:b/>
          <w:bCs/>
          <w:color w:val="auto"/>
          <w:spacing w:val="2"/>
          <w:sz w:val="24"/>
          <w:highlight w:val="none"/>
        </w:rPr>
        <w:t>号条款</w:t>
      </w:r>
      <w:r>
        <w:rPr>
          <w:rFonts w:hint="eastAsia" w:ascii="宋体" w:hAnsi="宋体" w:cs="宋体"/>
          <w:b/>
          <w:bCs/>
          <w:color w:val="auto"/>
          <w:spacing w:val="5"/>
          <w:sz w:val="24"/>
          <w:highlight w:val="none"/>
        </w:rPr>
        <w:t>为</w:t>
      </w:r>
      <w:r>
        <w:rPr>
          <w:rFonts w:hint="eastAsia" w:ascii="宋体" w:hAnsi="宋体" w:cs="宋体"/>
          <w:b/>
          <w:bCs/>
          <w:color w:val="auto"/>
          <w:spacing w:val="2"/>
          <w:sz w:val="24"/>
          <w:highlight w:val="none"/>
        </w:rPr>
        <w:t>重要技术参数</w:t>
      </w:r>
      <w:r>
        <w:rPr>
          <w:rFonts w:hint="eastAsia" w:ascii="宋体" w:hAnsi="宋体" w:cs="宋体"/>
          <w:b/>
          <w:bCs/>
          <w:color w:val="auto"/>
          <w:spacing w:val="-10"/>
          <w:sz w:val="24"/>
          <w:highlight w:val="none"/>
        </w:rPr>
        <w:t>，</w:t>
      </w:r>
      <w:r>
        <w:rPr>
          <w:rFonts w:hint="eastAsia" w:ascii="宋体" w:hAnsi="宋体" w:cs="宋体"/>
          <w:b/>
          <w:bCs/>
          <w:color w:val="auto"/>
          <w:spacing w:val="2"/>
          <w:sz w:val="24"/>
          <w:highlight w:val="none"/>
        </w:rPr>
        <w:t>投标人</w:t>
      </w:r>
      <w:r>
        <w:rPr>
          <w:rFonts w:hint="eastAsia" w:ascii="宋体" w:hAnsi="宋体" w:cs="宋体"/>
          <w:b/>
          <w:bCs/>
          <w:color w:val="auto"/>
          <w:spacing w:val="5"/>
          <w:sz w:val="24"/>
          <w:highlight w:val="none"/>
        </w:rPr>
        <w:t>若</w:t>
      </w:r>
      <w:r>
        <w:rPr>
          <w:rFonts w:hint="eastAsia" w:ascii="宋体" w:hAnsi="宋体" w:cs="宋体"/>
          <w:b/>
          <w:bCs/>
          <w:color w:val="auto"/>
          <w:spacing w:val="2"/>
          <w:sz w:val="24"/>
          <w:highlight w:val="none"/>
        </w:rPr>
        <w:t>有部</w:t>
      </w:r>
      <w:r>
        <w:rPr>
          <w:rFonts w:hint="eastAsia" w:ascii="宋体" w:hAnsi="宋体" w:cs="宋体"/>
          <w:b/>
          <w:bCs/>
          <w:color w:val="auto"/>
          <w:spacing w:val="-12"/>
          <w:sz w:val="24"/>
          <w:highlight w:val="none"/>
        </w:rPr>
        <w:t>分</w:t>
      </w:r>
      <w:r>
        <w:rPr>
          <w:rFonts w:hint="eastAsia" w:ascii="宋体" w:hAnsi="宋体" w:cs="宋体"/>
          <w:b/>
          <w:bCs/>
          <w:color w:val="auto"/>
          <w:spacing w:val="2"/>
          <w:sz w:val="24"/>
          <w:highlight w:val="none"/>
        </w:rPr>
        <w:t>“▲</w:t>
      </w:r>
      <w:r>
        <w:rPr>
          <w:rFonts w:hint="eastAsia" w:ascii="宋体" w:hAnsi="宋体" w:cs="宋体"/>
          <w:b/>
          <w:bCs/>
          <w:color w:val="auto"/>
          <w:spacing w:val="-12"/>
          <w:sz w:val="24"/>
          <w:highlight w:val="none"/>
        </w:rPr>
        <w:t>”</w:t>
      </w:r>
      <w:r>
        <w:rPr>
          <w:rFonts w:hint="eastAsia" w:ascii="宋体" w:hAnsi="宋体" w:cs="宋体"/>
          <w:b/>
          <w:bCs/>
          <w:color w:val="auto"/>
          <w:spacing w:val="2"/>
          <w:sz w:val="24"/>
          <w:highlight w:val="none"/>
        </w:rPr>
        <w:t>条款未</w:t>
      </w:r>
      <w:r>
        <w:rPr>
          <w:rFonts w:hint="eastAsia" w:ascii="宋体" w:hAnsi="宋体" w:cs="宋体"/>
          <w:b/>
          <w:bCs/>
          <w:color w:val="auto"/>
          <w:spacing w:val="5"/>
          <w:sz w:val="24"/>
          <w:highlight w:val="none"/>
        </w:rPr>
        <w:t>响</w:t>
      </w:r>
      <w:r>
        <w:rPr>
          <w:rFonts w:hint="eastAsia" w:ascii="宋体" w:hAnsi="宋体" w:cs="宋体"/>
          <w:b/>
          <w:bCs/>
          <w:color w:val="auto"/>
          <w:spacing w:val="2"/>
          <w:sz w:val="24"/>
          <w:highlight w:val="none"/>
        </w:rPr>
        <w:t>应或不满</w:t>
      </w:r>
      <w:r>
        <w:rPr>
          <w:rFonts w:hint="eastAsia" w:ascii="宋体" w:hAnsi="宋体" w:cs="宋体"/>
          <w:b/>
          <w:bCs/>
          <w:color w:val="auto"/>
          <w:spacing w:val="5"/>
          <w:sz w:val="24"/>
          <w:highlight w:val="none"/>
        </w:rPr>
        <w:t>足</w:t>
      </w:r>
      <w:r>
        <w:rPr>
          <w:rFonts w:hint="eastAsia" w:ascii="宋体" w:hAnsi="宋体" w:cs="宋体"/>
          <w:b/>
          <w:bCs/>
          <w:color w:val="auto"/>
          <w:spacing w:val="-12"/>
          <w:sz w:val="24"/>
          <w:highlight w:val="none"/>
        </w:rPr>
        <w:t>，</w:t>
      </w:r>
      <w:r>
        <w:rPr>
          <w:rFonts w:hint="eastAsia" w:ascii="宋体" w:hAnsi="宋体" w:cs="宋体"/>
          <w:b/>
          <w:bCs/>
          <w:color w:val="auto"/>
          <w:spacing w:val="2"/>
          <w:sz w:val="24"/>
          <w:highlight w:val="none"/>
        </w:rPr>
        <w:t>将导</w:t>
      </w:r>
      <w:r>
        <w:rPr>
          <w:rFonts w:hint="eastAsia" w:ascii="宋体" w:hAnsi="宋体" w:cs="宋体"/>
          <w:b/>
          <w:bCs/>
          <w:color w:val="auto"/>
          <w:sz w:val="24"/>
          <w:highlight w:val="none"/>
        </w:rPr>
        <w:t>致</w:t>
      </w:r>
      <w:r>
        <w:rPr>
          <w:rFonts w:hint="eastAsia" w:ascii="宋体" w:hAnsi="宋体" w:cs="宋体"/>
          <w:b/>
          <w:bCs/>
          <w:color w:val="auto"/>
          <w:spacing w:val="2"/>
          <w:sz w:val="24"/>
          <w:highlight w:val="none"/>
        </w:rPr>
        <w:t>其响应</w:t>
      </w:r>
      <w:r>
        <w:rPr>
          <w:rFonts w:hint="eastAsia" w:ascii="宋体" w:hAnsi="宋体" w:cs="宋体"/>
          <w:b/>
          <w:bCs/>
          <w:color w:val="auto"/>
          <w:sz w:val="24"/>
          <w:highlight w:val="none"/>
        </w:rPr>
        <w:t>性</w:t>
      </w:r>
      <w:r>
        <w:rPr>
          <w:rFonts w:hint="eastAsia" w:ascii="宋体" w:hAnsi="宋体" w:cs="宋体"/>
          <w:b/>
          <w:bCs/>
          <w:color w:val="auto"/>
          <w:spacing w:val="2"/>
          <w:sz w:val="24"/>
          <w:highlight w:val="none"/>
        </w:rPr>
        <w:t>评审加重扣</w:t>
      </w:r>
      <w:r>
        <w:rPr>
          <w:rFonts w:hint="eastAsia" w:ascii="宋体" w:hAnsi="宋体" w:cs="宋体"/>
          <w:b/>
          <w:bCs/>
          <w:color w:val="auto"/>
          <w:sz w:val="24"/>
          <w:highlight w:val="none"/>
        </w:rPr>
        <w:t>分</w:t>
      </w:r>
      <w:r>
        <w:rPr>
          <w:rFonts w:hint="eastAsia" w:ascii="宋体" w:hAnsi="宋体" w:cs="宋体"/>
          <w:b/>
          <w:bCs/>
          <w:color w:val="auto"/>
          <w:spacing w:val="2"/>
          <w:sz w:val="24"/>
          <w:highlight w:val="none"/>
        </w:rPr>
        <w:t>，但不作为</w:t>
      </w:r>
      <w:r>
        <w:rPr>
          <w:rFonts w:hint="eastAsia" w:ascii="宋体" w:hAnsi="宋体" w:cs="宋体"/>
          <w:b/>
          <w:bCs/>
          <w:color w:val="auto"/>
          <w:sz w:val="24"/>
          <w:highlight w:val="none"/>
        </w:rPr>
        <w:t>无</w:t>
      </w:r>
      <w:r>
        <w:rPr>
          <w:rFonts w:hint="eastAsia" w:ascii="宋体" w:hAnsi="宋体" w:cs="宋体"/>
          <w:b/>
          <w:bCs/>
          <w:color w:val="auto"/>
          <w:spacing w:val="2"/>
          <w:sz w:val="24"/>
          <w:highlight w:val="none"/>
        </w:rPr>
        <w:t>效投标条款</w:t>
      </w:r>
      <w:r>
        <w:rPr>
          <w:rFonts w:hint="eastAsia" w:ascii="宋体" w:hAnsi="宋体" w:cs="宋体"/>
          <w:b/>
          <w:bCs/>
          <w:color w:val="auto"/>
          <w:sz w:val="24"/>
          <w:highlight w:val="none"/>
        </w:rPr>
        <w:t>。</w:t>
      </w:r>
    </w:p>
    <w:p>
      <w:pPr>
        <w:shd w:val="clear"/>
        <w:outlineLvl w:val="9"/>
        <w:rPr>
          <w:rFonts w:hint="eastAsia" w:ascii="宋体" w:hAnsi="宋体" w:eastAsia="宋体" w:cs="宋体"/>
          <w:b/>
          <w:bCs w:val="0"/>
          <w:color w:val="auto"/>
          <w:sz w:val="24"/>
          <w:szCs w:val="24"/>
          <w:highlight w:val="none"/>
          <w:lang w:val="zh-CN" w:eastAsia="zh-CN"/>
        </w:rPr>
      </w:pPr>
      <w:bookmarkStart w:id="12" w:name="_Toc421109810"/>
      <w:bookmarkStart w:id="13" w:name="_Toc278898180"/>
      <w:r>
        <w:rPr>
          <w:rFonts w:hint="eastAsia" w:ascii="宋体" w:hAnsi="宋体" w:eastAsia="宋体" w:cs="宋体"/>
          <w:b/>
          <w:bCs w:val="0"/>
          <w:color w:val="auto"/>
          <w:sz w:val="24"/>
          <w:szCs w:val="24"/>
          <w:highlight w:val="none"/>
        </w:rPr>
        <w:t>一</w:t>
      </w:r>
      <w:r>
        <w:rPr>
          <w:rFonts w:hint="eastAsia" w:ascii="宋体" w:hAnsi="宋体" w:eastAsia="宋体" w:cs="宋体"/>
          <w:b/>
          <w:bCs w:val="0"/>
          <w:color w:val="auto"/>
          <w:sz w:val="24"/>
          <w:szCs w:val="24"/>
          <w:highlight w:val="none"/>
          <w:lang w:val="zh-CN" w:eastAsia="zh-CN"/>
        </w:rPr>
        <w:t>.</w:t>
      </w:r>
      <w:r>
        <w:rPr>
          <w:rFonts w:hint="eastAsia" w:ascii="宋体" w:hAnsi="宋体" w:eastAsia="宋体" w:cs="宋体"/>
          <w:b/>
          <w:bCs w:val="0"/>
          <w:color w:val="auto"/>
          <w:sz w:val="24"/>
          <w:szCs w:val="24"/>
          <w:highlight w:val="none"/>
          <w:lang w:val="zh-CN"/>
        </w:rPr>
        <w:t>项目</w:t>
      </w:r>
      <w:r>
        <w:rPr>
          <w:rFonts w:hint="eastAsia" w:ascii="宋体" w:hAnsi="宋体" w:eastAsia="宋体" w:cs="宋体"/>
          <w:b/>
          <w:bCs w:val="0"/>
          <w:color w:val="auto"/>
          <w:sz w:val="24"/>
          <w:szCs w:val="24"/>
          <w:highlight w:val="none"/>
          <w:lang w:val="zh-CN" w:eastAsia="zh-CN"/>
        </w:rPr>
        <w:t>目的</w:t>
      </w:r>
      <w:bookmarkEnd w:id="12"/>
      <w:bookmarkEnd w:id="13"/>
    </w:p>
    <w:p>
      <w:pPr>
        <w:shd w:val="clear"/>
        <w:spacing w:line="360" w:lineRule="auto"/>
        <w:ind w:firstLine="600"/>
        <w:rPr>
          <w:rStyle w:val="6"/>
          <w:rFonts w:hint="eastAsia" w:ascii="宋体" w:hAnsi="宋体" w:eastAsia="宋体" w:cs="宋体"/>
          <w:color w:val="auto"/>
          <w:sz w:val="24"/>
          <w:szCs w:val="24"/>
          <w:highlight w:val="none"/>
        </w:rPr>
      </w:pPr>
      <w:bookmarkStart w:id="14" w:name="_Toc421109811"/>
      <w:r>
        <w:rPr>
          <w:rStyle w:val="6"/>
          <w:rFonts w:hint="eastAsia" w:ascii="宋体" w:hAnsi="宋体" w:eastAsia="宋体" w:cs="宋体"/>
          <w:color w:val="auto"/>
          <w:sz w:val="24"/>
          <w:szCs w:val="24"/>
          <w:highlight w:val="none"/>
        </w:rPr>
        <w:t>为贯彻落实国家应对气候变化的总体部署和要求，做好林业应对气候变化工作，按照国家林草局应对气候变化重点工作安排，对接气候变化国家信息通报、两年更新报告及国家温室气体清单编制要求，落实</w:t>
      </w:r>
      <w:r>
        <w:rPr>
          <w:rStyle w:val="6"/>
          <w:rFonts w:hint="eastAsia" w:ascii="宋体" w:hAnsi="宋体" w:eastAsia="宋体" w:cs="宋体"/>
          <w:color w:val="auto"/>
          <w:sz w:val="24"/>
          <w:szCs w:val="24"/>
          <w:highlight w:val="none"/>
          <w:lang w:eastAsia="zh-CN"/>
        </w:rPr>
        <w:t>“</w:t>
      </w:r>
      <w:r>
        <w:rPr>
          <w:rStyle w:val="6"/>
          <w:rFonts w:hint="eastAsia" w:ascii="宋体" w:hAnsi="宋体" w:eastAsia="宋体" w:cs="宋体"/>
          <w:color w:val="auto"/>
          <w:sz w:val="24"/>
          <w:szCs w:val="24"/>
          <w:highlight w:val="none"/>
        </w:rPr>
        <w:t>十四五</w:t>
      </w:r>
      <w:r>
        <w:rPr>
          <w:rStyle w:val="6"/>
          <w:rFonts w:hint="eastAsia" w:ascii="宋体" w:hAnsi="宋体" w:eastAsia="宋体" w:cs="宋体"/>
          <w:color w:val="auto"/>
          <w:sz w:val="24"/>
          <w:szCs w:val="24"/>
          <w:highlight w:val="none"/>
          <w:lang w:eastAsia="zh-CN"/>
        </w:rPr>
        <w:t>”</w:t>
      </w:r>
      <w:r>
        <w:rPr>
          <w:rStyle w:val="6"/>
          <w:rFonts w:hint="eastAsia" w:ascii="宋体" w:hAnsi="宋体" w:eastAsia="宋体" w:cs="宋体"/>
          <w:color w:val="auto"/>
          <w:sz w:val="24"/>
          <w:szCs w:val="24"/>
          <w:highlight w:val="none"/>
        </w:rPr>
        <w:t>林草保护发展规划，做好宏观决策科技支撑，服务国家内政外交大局，广东省林业局特开展此项目。</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本项目遵循《联合国应对气候变化框架公约》（UNFCCC）关于温室气体清单编制的方法学，对接最新国家温室气体清单更新报告（林业和草原部分）编制的数据需求，以2018、2020年为时间点，以林地、草地、湿地等土地利用变化区划与更新为重点，以活动水平数据采集、排放因子库建设为关键，以森林、草原、湿地和木质林产品碳储量及其变化量为内容，以科学计量林草湿生态系统碳汇能力为主要目标，持续推进计量监测，努力实现碳汇计量监测与国家温室气体清单编制融合发展。同时，提高计量监测支撑林草碳汇交易和碳中和行动的能力。</w:t>
      </w:r>
    </w:p>
    <w:bookmarkEnd w:id="14"/>
    <w:p>
      <w:pPr>
        <w:numPr>
          <w:ilvl w:val="0"/>
          <w:numId w:val="1"/>
        </w:numPr>
        <w:shd w:val="clear"/>
        <w:outlineLvl w:val="9"/>
        <w:rPr>
          <w:rFonts w:hint="eastAsia" w:ascii="宋体" w:hAnsi="宋体" w:eastAsia="宋体" w:cs="宋体"/>
          <w:color w:val="auto"/>
          <w:sz w:val="24"/>
          <w:highlight w:val="none"/>
          <w:lang w:val="zh-CN"/>
        </w:rPr>
      </w:pPr>
      <w:r>
        <w:rPr>
          <w:rFonts w:hint="eastAsia" w:ascii="宋体" w:hAnsi="宋体" w:eastAsia="宋体" w:cs="宋体"/>
          <w:b/>
          <w:bCs w:val="0"/>
          <w:color w:val="auto"/>
          <w:sz w:val="24"/>
          <w:szCs w:val="24"/>
          <w:highlight w:val="none"/>
          <w:lang w:val="zh-CN"/>
        </w:rPr>
        <w:t>项目任务</w:t>
      </w:r>
    </w:p>
    <w:tbl>
      <w:tblPr>
        <w:tblStyle w:val="4"/>
        <w:tblpPr w:leftFromText="180" w:rightFromText="180" w:vertAnchor="text" w:horzAnchor="page" w:tblpX="1677" w:tblpY="42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524"/>
        <w:gridCol w:w="2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835" w:type="dxa"/>
            <w:tcBorders>
              <w:top w:val="single" w:color="auto" w:sz="12" w:space="0"/>
              <w:left w:val="single" w:color="auto" w:sz="12" w:space="0"/>
              <w:bottom w:val="double" w:color="auto" w:sz="4" w:space="0"/>
              <w:right w:val="single" w:color="auto" w:sz="4" w:space="0"/>
            </w:tcBorders>
            <w:shd w:val="clear" w:color="auto" w:fill="EEECE1"/>
            <w:noWrap w:val="0"/>
            <w:vAlign w:val="center"/>
          </w:tcPr>
          <w:p>
            <w:pPr>
              <w:widowControl/>
              <w:shd w:val="clear"/>
              <w:tabs>
                <w:tab w:val="center" w:pos="4201"/>
                <w:tab w:val="right" w:leader="dot" w:pos="9298"/>
              </w:tabs>
              <w:autoSpaceDE w:val="0"/>
              <w:autoSpaceDN w:val="0"/>
              <w:spacing w:line="312" w:lineRule="atLeast"/>
              <w:ind w:firstLine="600"/>
              <w:jc w:val="center"/>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color w:val="auto"/>
                <w:sz w:val="24"/>
                <w:szCs w:val="24"/>
                <w:highlight w:val="none"/>
                <w:lang w:val="en-US" w:eastAsia="zh-CN"/>
              </w:rPr>
              <w:t>服务内容</w:t>
            </w:r>
          </w:p>
        </w:tc>
        <w:tc>
          <w:tcPr>
            <w:tcW w:w="3524"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widowControl/>
              <w:shd w:val="clear"/>
              <w:tabs>
                <w:tab w:val="center" w:pos="4201"/>
                <w:tab w:val="right" w:leader="dot" w:pos="9298"/>
              </w:tabs>
              <w:autoSpaceDE w:val="0"/>
              <w:autoSpaceDN w:val="0"/>
              <w:spacing w:line="312" w:lineRule="atLeast"/>
              <w:ind w:firstLine="600"/>
              <w:jc w:val="center"/>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color w:val="auto"/>
                <w:sz w:val="24"/>
                <w:szCs w:val="24"/>
                <w:highlight w:val="none"/>
                <w:lang w:val="en-US" w:eastAsia="zh-CN"/>
              </w:rPr>
              <w:t>服务期</w:t>
            </w:r>
          </w:p>
        </w:tc>
        <w:tc>
          <w:tcPr>
            <w:tcW w:w="2561"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shd w:val="clear"/>
              <w:tabs>
                <w:tab w:val="center" w:pos="4201"/>
                <w:tab w:val="right" w:leader="dot" w:pos="9298"/>
              </w:tabs>
              <w:autoSpaceDE w:val="0"/>
              <w:autoSpaceDN w:val="0"/>
              <w:spacing w:line="312" w:lineRule="atLeast"/>
              <w:ind w:firstLine="600"/>
              <w:jc w:val="both"/>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color w:val="auto"/>
                <w:sz w:val="24"/>
                <w:szCs w:val="24"/>
                <w:highlight w:val="none"/>
                <w:lang w:val="en-US" w:eastAsia="zh-CN"/>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8" w:hRule="atLeast"/>
        </w:trPr>
        <w:tc>
          <w:tcPr>
            <w:tcW w:w="2835" w:type="dxa"/>
            <w:tcBorders>
              <w:top w:val="double" w:color="auto" w:sz="4" w:space="0"/>
              <w:left w:val="single" w:color="auto" w:sz="12" w:space="0"/>
              <w:bottom w:val="single" w:color="auto" w:sz="12" w:space="0"/>
              <w:right w:val="single" w:color="auto" w:sz="4" w:space="0"/>
            </w:tcBorders>
            <w:noWrap w:val="0"/>
            <w:vAlign w:val="center"/>
          </w:tcPr>
          <w:p>
            <w:pPr>
              <w:widowControl/>
              <w:shd w:val="clear"/>
              <w:tabs>
                <w:tab w:val="center" w:pos="4201"/>
                <w:tab w:val="right" w:leader="dot" w:pos="9298"/>
              </w:tabs>
              <w:autoSpaceDE w:val="0"/>
              <w:autoSpaceDN w:val="0"/>
              <w:spacing w:line="312" w:lineRule="atLeast"/>
              <w:ind w:left="0" w:leftChars="0" w:firstLine="0" w:firstLineChars="0"/>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color w:val="auto"/>
                <w:sz w:val="24"/>
                <w:szCs w:val="24"/>
                <w:highlight w:val="none"/>
                <w:lang w:eastAsia="zh-CN"/>
              </w:rPr>
              <w:t>第二次土地利用、土地利用变化与林业碳汇计量监测项目（碳汇计量监测项目）</w:t>
            </w:r>
          </w:p>
        </w:tc>
        <w:tc>
          <w:tcPr>
            <w:tcW w:w="3524" w:type="dxa"/>
            <w:tcBorders>
              <w:top w:val="double" w:color="auto" w:sz="4" w:space="0"/>
              <w:left w:val="single" w:color="auto" w:sz="4" w:space="0"/>
              <w:bottom w:val="single" w:color="auto" w:sz="12" w:space="0"/>
              <w:right w:val="single" w:color="auto" w:sz="4" w:space="0"/>
            </w:tcBorders>
            <w:noWrap w:val="0"/>
            <w:vAlign w:val="center"/>
          </w:tcPr>
          <w:p>
            <w:pPr>
              <w:widowControl/>
              <w:shd w:val="clear"/>
              <w:tabs>
                <w:tab w:val="center" w:pos="4201"/>
                <w:tab w:val="right" w:leader="dot" w:pos="9298"/>
              </w:tabs>
              <w:autoSpaceDE w:val="0"/>
              <w:autoSpaceDN w:val="0"/>
              <w:spacing w:line="312" w:lineRule="atLeast"/>
              <w:ind w:left="0" w:leftChars="0" w:firstLine="0" w:firstLineChars="0"/>
              <w:rPr>
                <w:rStyle w:val="6"/>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合同生效之日起</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0个</w:t>
            </w:r>
            <w:r>
              <w:rPr>
                <w:rFonts w:hint="eastAsia" w:ascii="宋体" w:hAnsi="宋体" w:cs="宋体"/>
                <w:color w:val="auto"/>
                <w:sz w:val="24"/>
                <w:highlight w:val="none"/>
                <w:lang w:eastAsia="zh-CN"/>
              </w:rPr>
              <w:t>自然</w:t>
            </w:r>
            <w:r>
              <w:rPr>
                <w:rFonts w:hint="eastAsia" w:ascii="宋体" w:hAnsi="宋体" w:cs="宋体"/>
                <w:color w:val="auto"/>
                <w:sz w:val="24"/>
                <w:highlight w:val="none"/>
              </w:rPr>
              <w:t>日内完成内外业，并提交最终成果</w:t>
            </w:r>
            <w:r>
              <w:rPr>
                <w:rStyle w:val="6"/>
                <w:rFonts w:hint="eastAsia" w:ascii="宋体" w:hAnsi="宋体" w:eastAsia="宋体" w:cs="宋体"/>
                <w:color w:val="auto"/>
                <w:sz w:val="24"/>
                <w:szCs w:val="24"/>
                <w:highlight w:val="none"/>
              </w:rPr>
              <w:t>。</w:t>
            </w:r>
          </w:p>
        </w:tc>
        <w:tc>
          <w:tcPr>
            <w:tcW w:w="2561" w:type="dxa"/>
            <w:tcBorders>
              <w:top w:val="double" w:color="auto" w:sz="4" w:space="0"/>
              <w:left w:val="single" w:color="auto" w:sz="4" w:space="0"/>
              <w:bottom w:val="single" w:color="auto" w:sz="12" w:space="0"/>
              <w:right w:val="single" w:color="auto" w:sz="12" w:space="0"/>
            </w:tcBorders>
            <w:noWrap w:val="0"/>
            <w:vAlign w:val="center"/>
          </w:tcPr>
          <w:p>
            <w:pPr>
              <w:widowControl/>
              <w:shd w:val="clear"/>
              <w:tabs>
                <w:tab w:val="center" w:pos="4201"/>
                <w:tab w:val="right" w:leader="dot" w:pos="9298"/>
              </w:tabs>
              <w:autoSpaceDE w:val="0"/>
              <w:autoSpaceDN w:val="0"/>
              <w:spacing w:line="312" w:lineRule="atLeast"/>
              <w:ind w:left="0" w:leftChars="0" w:firstLine="0" w:firstLineChars="0"/>
              <w:jc w:val="center"/>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color w:val="auto"/>
                <w:sz w:val="24"/>
                <w:szCs w:val="24"/>
                <w:highlight w:val="none"/>
                <w:lang w:val="en-US" w:eastAsia="zh-CN"/>
              </w:rPr>
              <w:t>人民币100万元</w:t>
            </w:r>
          </w:p>
        </w:tc>
      </w:tr>
    </w:tbl>
    <w:p>
      <w:pPr>
        <w:widowControl/>
        <w:shd w:val="clear"/>
        <w:tabs>
          <w:tab w:val="center" w:pos="4201"/>
          <w:tab w:val="right" w:leader="dot" w:pos="9298"/>
        </w:tabs>
        <w:autoSpaceDE w:val="0"/>
        <w:autoSpaceDN w:val="0"/>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1、土地利用变化样地区划与碳库属性因子更新</w:t>
      </w:r>
    </w:p>
    <w:p>
      <w:pPr>
        <w:shd w:val="clear"/>
        <w:spacing w:line="360" w:lineRule="auto"/>
        <w:ind w:firstLine="640"/>
        <w:rPr>
          <w:rStyle w:val="6"/>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应国家温室气体清单编制关于土地利用变化缺省间隔时间（20年）的要求，采集1998年、2018年、2020年三个年度的卫星影像，叠加2013年、2016年的土地利用数据，遵循IPCC土地利用类型划分，在广东省315个碳汇遥感监测样地范围内（样地大小4km×4km），</w:t>
      </w:r>
      <w:r>
        <w:rPr>
          <w:rStyle w:val="6"/>
          <w:rFonts w:hint="eastAsia" w:ascii="宋体" w:hAnsi="宋体" w:eastAsia="宋体" w:cs="宋体"/>
          <w:color w:val="auto"/>
          <w:sz w:val="24"/>
          <w:szCs w:val="24"/>
          <w:highlight w:val="none"/>
        </w:rPr>
        <w:t>对发生转入/转出的各类林地、草地和湿地图斑进行区划，填写变化原因。</w:t>
      </w:r>
    </w:p>
    <w:p>
      <w:pPr>
        <w:widowControl/>
        <w:shd w:val="clear"/>
        <w:tabs>
          <w:tab w:val="center" w:pos="4201"/>
          <w:tab w:val="right" w:leader="dot" w:pos="9298"/>
        </w:tabs>
        <w:autoSpaceDE w:val="0"/>
        <w:autoSpaceDN w:val="0"/>
        <w:spacing w:line="360" w:lineRule="auto"/>
        <w:ind w:firstLine="600"/>
        <w:rPr>
          <w:rStyle w:val="6"/>
          <w:rFonts w:hint="eastAsia" w:ascii="宋体" w:hAnsi="宋体" w:eastAsia="宋体" w:cs="宋体"/>
          <w:color w:val="auto"/>
          <w:sz w:val="24"/>
          <w:szCs w:val="24"/>
          <w:highlight w:val="none"/>
        </w:rPr>
      </w:pPr>
      <w:bookmarkStart w:id="15" w:name="_Toc62723215"/>
      <w:r>
        <w:rPr>
          <w:rStyle w:val="6"/>
          <w:rFonts w:hint="eastAsia" w:ascii="宋体" w:hAnsi="宋体" w:eastAsia="宋体" w:cs="宋体"/>
          <w:color w:val="auto"/>
          <w:sz w:val="24"/>
          <w:szCs w:val="24"/>
          <w:highlight w:val="none"/>
        </w:rPr>
        <w:t>2、</w:t>
      </w:r>
      <w:bookmarkEnd w:id="15"/>
      <w:r>
        <w:rPr>
          <w:rStyle w:val="6"/>
          <w:rFonts w:hint="eastAsia" w:ascii="宋体" w:hAnsi="宋体" w:eastAsia="宋体" w:cs="宋体"/>
          <w:color w:val="auto"/>
          <w:sz w:val="24"/>
          <w:szCs w:val="24"/>
          <w:highlight w:val="none"/>
        </w:rPr>
        <w:t>外业调查相关属性因子</w:t>
      </w:r>
    </w:p>
    <w:p>
      <w:pPr>
        <w:shd w:val="clear"/>
        <w:spacing w:line="360" w:lineRule="auto"/>
        <w:ind w:firstLine="600"/>
        <w:rPr>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对完成土地利用区划的样地开展外业调查，核实查验地类、优势树种、胸径、公顷株数、乔木林量等关键属性数据。同时确认林草湿地类、管理活动类型等属性因子。另外采集变化图斑的遥感解译标志。</w:t>
      </w:r>
    </w:p>
    <w:p>
      <w:pPr>
        <w:shd w:val="clear"/>
        <w:spacing w:line="360" w:lineRule="auto"/>
        <w:ind w:firstLine="6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3、广东省林草湿生态系统碳汇的计量分析。</w:t>
      </w:r>
    </w:p>
    <w:p>
      <w:pPr>
        <w:shd w:val="clear"/>
        <w:spacing w:line="360" w:lineRule="auto"/>
        <w:ind w:firstLine="6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遵循UNFCCC温室气体清单编制方法，以广东省2018年和2020年样地的土地利用区划数据，推算1988年-2018年、2018年-2020年广东省林地、草地、湿地等土地利用变化。运用建立的计量模型和排放因子库，开展2020年广东省林草湿碳储量测算，分析上世纪末以来广东省林草湿生态系统碳储量变化，产出反映林草湿生态系统碳汇能力的碳源/汇数据，同步支撑最新国家温室气体清单编制。</w:t>
      </w:r>
    </w:p>
    <w:p>
      <w:pPr>
        <w:shd w:val="clear"/>
        <w:spacing w:line="360" w:lineRule="auto"/>
        <w:outlineLvl w:val="9"/>
        <w:rPr>
          <w:rFonts w:hint="eastAsia" w:ascii="宋体" w:hAnsi="宋体" w:eastAsia="宋体" w:cs="宋体"/>
          <w:b/>
          <w:bCs w:val="0"/>
          <w:color w:val="auto"/>
          <w:sz w:val="24"/>
          <w:szCs w:val="24"/>
          <w:highlight w:val="none"/>
          <w:lang w:val="zh-CN" w:eastAsia="zh-CN"/>
        </w:rPr>
      </w:pPr>
      <w:bookmarkStart w:id="16" w:name="_Toc421109812"/>
      <w:r>
        <w:rPr>
          <w:rFonts w:hint="eastAsia" w:ascii="宋体" w:hAnsi="宋体" w:eastAsia="宋体" w:cs="宋体"/>
          <w:b/>
          <w:bCs w:val="0"/>
          <w:color w:val="auto"/>
          <w:sz w:val="24"/>
          <w:szCs w:val="24"/>
          <w:highlight w:val="none"/>
          <w:lang w:val="zh-CN"/>
        </w:rPr>
        <w:t>三</w:t>
      </w:r>
      <w:r>
        <w:rPr>
          <w:rFonts w:hint="eastAsia" w:ascii="宋体" w:hAnsi="宋体" w:eastAsia="宋体" w:cs="宋体"/>
          <w:b/>
          <w:bCs w:val="0"/>
          <w:color w:val="auto"/>
          <w:sz w:val="24"/>
          <w:szCs w:val="24"/>
          <w:highlight w:val="none"/>
          <w:lang w:val="zh-CN" w:eastAsia="zh-CN"/>
        </w:rPr>
        <w:t>.</w:t>
      </w:r>
      <w:r>
        <w:rPr>
          <w:rFonts w:hint="eastAsia" w:ascii="宋体" w:hAnsi="宋体" w:eastAsia="宋体" w:cs="宋体"/>
          <w:b/>
          <w:bCs w:val="0"/>
          <w:color w:val="auto"/>
          <w:sz w:val="24"/>
          <w:szCs w:val="24"/>
          <w:highlight w:val="none"/>
          <w:lang w:val="zh-CN"/>
        </w:rPr>
        <w:t>项目</w:t>
      </w:r>
      <w:r>
        <w:rPr>
          <w:rFonts w:hint="eastAsia" w:ascii="宋体" w:hAnsi="宋体" w:eastAsia="宋体" w:cs="宋体"/>
          <w:b/>
          <w:bCs w:val="0"/>
          <w:color w:val="auto"/>
          <w:sz w:val="24"/>
          <w:szCs w:val="24"/>
          <w:highlight w:val="none"/>
          <w:lang w:val="zh-CN" w:eastAsia="zh-CN"/>
        </w:rPr>
        <w:t>依据</w:t>
      </w:r>
      <w:bookmarkEnd w:id="16"/>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1．《IPCC 2003年关于土地利用、土地利用变化和林业方面的优良做法指南》（简称《优良做法指南》）；</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2．《IPCC 2006年国家温室气体清单指南》（简称《2006年指南》）；</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3．《IPCC 2006年国家温室气体清单指南2019修订版》（简称《2019年修订》）；</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4．《IPCC 2013年湿地增补指南》（简称《湿地增补指南》）；</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5．《全国土地利用、土地利用变化与林业碳汇计量监测技术指南》（简称《技术指南》）；</w:t>
      </w:r>
    </w:p>
    <w:p>
      <w:pPr>
        <w:shd w:val="clear"/>
        <w:spacing w:line="360" w:lineRule="auto"/>
        <w:ind w:firstLine="600"/>
        <w:rPr>
          <w:rStyle w:val="6"/>
          <w:rFonts w:hint="eastAsia" w:ascii="宋体" w:hAnsi="宋体" w:eastAsia="宋体" w:cs="宋体"/>
          <w:b/>
          <w:bCs/>
          <w:color w:val="auto"/>
          <w:sz w:val="24"/>
          <w:szCs w:val="24"/>
          <w:highlight w:val="none"/>
        </w:rPr>
      </w:pPr>
      <w:r>
        <w:rPr>
          <w:rStyle w:val="6"/>
          <w:rFonts w:hint="eastAsia" w:ascii="宋体" w:hAnsi="宋体" w:eastAsia="宋体" w:cs="宋体"/>
          <w:color w:val="auto"/>
          <w:sz w:val="24"/>
          <w:szCs w:val="24"/>
          <w:highlight w:val="none"/>
        </w:rPr>
        <w:t>6．《全国土地利用、土地利用变化与林业碳汇计量监测成果质量检查方案（试行）》（简称《质量检查方案（试行）》）。</w:t>
      </w:r>
    </w:p>
    <w:p>
      <w:pPr>
        <w:shd w:val="clear"/>
        <w:spacing w:line="360" w:lineRule="auto"/>
        <w:ind w:firstLine="0" w:firstLineChars="0"/>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rPr>
        <w:t>四</w:t>
      </w:r>
      <w:r>
        <w:rPr>
          <w:rFonts w:hint="eastAsia" w:ascii="宋体" w:hAnsi="宋体" w:eastAsia="宋体" w:cs="宋体"/>
          <w:b/>
          <w:bCs w:val="0"/>
          <w:color w:val="auto"/>
          <w:sz w:val="24"/>
          <w:szCs w:val="24"/>
          <w:highlight w:val="none"/>
          <w:lang w:val="zh-CN" w:eastAsia="zh-CN"/>
        </w:rPr>
        <w:t>.</w:t>
      </w:r>
      <w:r>
        <w:rPr>
          <w:rFonts w:hint="eastAsia" w:ascii="宋体" w:hAnsi="宋体" w:eastAsia="宋体" w:cs="宋体"/>
          <w:b/>
          <w:bCs w:val="0"/>
          <w:color w:val="auto"/>
          <w:sz w:val="24"/>
          <w:szCs w:val="24"/>
          <w:highlight w:val="none"/>
          <w:lang w:val="zh-CN"/>
        </w:rPr>
        <w:t>项目</w:t>
      </w:r>
      <w:r>
        <w:rPr>
          <w:rFonts w:hint="eastAsia" w:ascii="宋体" w:hAnsi="宋体" w:eastAsia="宋体" w:cs="宋体"/>
          <w:b/>
          <w:bCs w:val="0"/>
          <w:color w:val="auto"/>
          <w:sz w:val="24"/>
          <w:szCs w:val="24"/>
          <w:highlight w:val="none"/>
          <w:lang w:val="zh-CN" w:eastAsia="zh-CN"/>
        </w:rPr>
        <w:t>原则</w:t>
      </w:r>
    </w:p>
    <w:p>
      <w:pPr>
        <w:shd w:val="clear"/>
        <w:spacing w:line="360" w:lineRule="auto"/>
        <w:ind w:firstLine="600"/>
        <w:rPr>
          <w:rStyle w:val="6"/>
          <w:rFonts w:hint="eastAsia" w:ascii="宋体" w:hAnsi="宋体" w:eastAsia="宋体" w:cs="宋体"/>
          <w:b/>
          <w:bCs/>
          <w:color w:val="auto"/>
          <w:sz w:val="24"/>
          <w:szCs w:val="24"/>
          <w:highlight w:val="none"/>
        </w:rPr>
      </w:pPr>
      <w:r>
        <w:rPr>
          <w:rStyle w:val="6"/>
          <w:rFonts w:hint="eastAsia" w:ascii="宋体" w:hAnsi="宋体" w:eastAsia="宋体" w:cs="宋体"/>
          <w:color w:val="auto"/>
          <w:sz w:val="24"/>
          <w:szCs w:val="24"/>
          <w:highlight w:val="none"/>
        </w:rPr>
        <w:t>1、标准统一，科学规范。执行《全国 LULUCF 碳汇计量监测技术指南》（简称《技术指南》，下同）和《LULUCF 碳汇计量监测成果质量检查方案（试行）》（简称《检查方案》，下同）， 合理确定判定规则，严格成果质量要求。参考现行相关监测技术规程，采用统一的数据结构、标准代码和格式要求进行碳汇监测数据核实。</w:t>
      </w:r>
    </w:p>
    <w:p>
      <w:pPr>
        <w:shd w:val="clear"/>
        <w:spacing w:line="360" w:lineRule="auto"/>
        <w:ind w:firstLine="600"/>
        <w:rPr>
          <w:rStyle w:val="6"/>
          <w:rFonts w:hint="eastAsia" w:ascii="宋体" w:hAnsi="宋体" w:eastAsia="宋体" w:cs="宋体"/>
          <w:b/>
          <w:bCs/>
          <w:color w:val="auto"/>
          <w:sz w:val="24"/>
          <w:szCs w:val="24"/>
          <w:highlight w:val="none"/>
        </w:rPr>
      </w:pPr>
      <w:r>
        <w:rPr>
          <w:rStyle w:val="6"/>
          <w:rFonts w:hint="eastAsia" w:ascii="宋体" w:hAnsi="宋体" w:eastAsia="宋体" w:cs="宋体"/>
          <w:color w:val="auto"/>
          <w:sz w:val="24"/>
          <w:szCs w:val="24"/>
          <w:highlight w:val="none"/>
        </w:rPr>
        <w:t>2、问题导向，多措并举。基于 2018、2020年两期碳汇监测遥感影像，从普遍存在的问题入手，查找在数据完整性、图斑区划、地类判读、属性获取与更新等方面存在的错误。内业区划调整和外业补充调查相结合，核实疑问数据，修正错误结果，确保监测结果准确可靠。</w:t>
      </w:r>
    </w:p>
    <w:p>
      <w:pPr>
        <w:shd w:val="clear"/>
        <w:spacing w:line="360" w:lineRule="auto"/>
        <w:ind w:firstLine="600"/>
        <w:rPr>
          <w:rStyle w:val="6"/>
          <w:rFonts w:hint="eastAsia" w:ascii="宋体" w:hAnsi="宋体" w:eastAsia="宋体" w:cs="宋体"/>
          <w:b/>
          <w:bCs/>
          <w:color w:val="auto"/>
          <w:sz w:val="24"/>
          <w:szCs w:val="24"/>
          <w:highlight w:val="none"/>
        </w:rPr>
      </w:pPr>
      <w:r>
        <w:rPr>
          <w:rStyle w:val="6"/>
          <w:rFonts w:hint="eastAsia" w:ascii="宋体" w:hAnsi="宋体" w:eastAsia="宋体" w:cs="宋体"/>
          <w:color w:val="auto"/>
          <w:sz w:val="24"/>
          <w:szCs w:val="24"/>
          <w:highlight w:val="none"/>
        </w:rPr>
        <w:t>3、统一组织，集中工作。由造林司统一组织部署，国家林业局碳汇计量监测中心技术牵头，充分发挥广东省林业调查规划院技术优势，形成合力。以省为单位，采取集中工作模式， 优化组织管理，统一方法</w:t>
      </w:r>
      <w:r>
        <w:rPr>
          <w:rStyle w:val="6"/>
          <w:rFonts w:hint="eastAsia" w:ascii="宋体" w:hAnsi="宋体" w:eastAsia="宋体" w:cs="宋体"/>
          <w:color w:val="auto"/>
          <w:sz w:val="24"/>
          <w:szCs w:val="24"/>
          <w:highlight w:val="none"/>
          <w:lang w:eastAsia="zh-CN"/>
        </w:rPr>
        <w:t>、</w:t>
      </w:r>
      <w:r>
        <w:rPr>
          <w:rStyle w:val="6"/>
          <w:rFonts w:hint="eastAsia" w:ascii="宋体" w:hAnsi="宋体" w:eastAsia="宋体" w:cs="宋体"/>
          <w:color w:val="auto"/>
          <w:sz w:val="24"/>
          <w:szCs w:val="24"/>
          <w:highlight w:val="none"/>
        </w:rPr>
        <w:t>工具，对 2018、 2020年碳汇监测数据逐图斑进行核实和修改完善，确保按时保质完成样地数据核实工作。</w:t>
      </w:r>
    </w:p>
    <w:p>
      <w:pPr>
        <w:shd w:val="clear"/>
        <w:spacing w:line="360" w:lineRule="auto"/>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rPr>
        <w:t>五.项目</w:t>
      </w:r>
      <w:r>
        <w:rPr>
          <w:rFonts w:hint="eastAsia" w:ascii="宋体" w:hAnsi="宋体" w:eastAsia="宋体" w:cs="宋体"/>
          <w:b/>
          <w:bCs w:val="0"/>
          <w:color w:val="auto"/>
          <w:sz w:val="24"/>
          <w:szCs w:val="24"/>
          <w:highlight w:val="none"/>
          <w:lang w:val="zh-CN" w:eastAsia="zh-CN"/>
        </w:rPr>
        <w:t>内容</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1、基础资料准备</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准备广东省国土三调、最新林地变更、草原资源监测、湿地资源监测以及营造林生产、采伐利用、使用林地、灾害发生情况等资料，作为土地利用类型区划、森林、草原和湿地碳库属性因子更新的参考和依据。</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2、区划变化图斑，填写变化属性因子</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以2013年、2016年广东林地、草地、湿地等土地利用数据集为本底，</w:t>
      </w:r>
      <w:r>
        <w:rPr>
          <w:rStyle w:val="6"/>
          <w:rFonts w:hint="eastAsia" w:ascii="宋体" w:hAnsi="宋体" w:eastAsia="宋体" w:cs="宋体"/>
          <w:color w:val="auto"/>
          <w:sz w:val="24"/>
          <w:szCs w:val="24"/>
          <w:highlight w:val="none"/>
          <w:lang w:val="en-US" w:eastAsia="zh-CN"/>
        </w:rPr>
        <w:t>2018、2020年</w:t>
      </w:r>
      <w:r>
        <w:rPr>
          <w:rStyle w:val="6"/>
          <w:rFonts w:hint="eastAsia" w:ascii="宋体" w:hAnsi="宋体" w:eastAsia="宋体" w:cs="宋体"/>
          <w:color w:val="auto"/>
          <w:sz w:val="24"/>
          <w:szCs w:val="24"/>
          <w:highlight w:val="none"/>
        </w:rPr>
        <w:t>的卫星影像所反映的影像特征差异为依据，进行土地利用变化区划，按要求勾绘发生土地利用变化的图斑。参考最新广东土地调查和林草专项监测成果，结合遥感影像，判读勾绘出的变化图斑的变化原因，计算图斑面积。</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3、外业核实</w:t>
      </w:r>
    </w:p>
    <w:p>
      <w:pPr>
        <w:shd w:val="clear"/>
        <w:spacing w:line="360" w:lineRule="auto"/>
        <w:ind w:firstLine="600"/>
        <w:rPr>
          <w:rStyle w:val="6"/>
          <w:rFonts w:hint="eastAsia" w:ascii="宋体" w:hAnsi="宋体" w:eastAsia="宋体" w:cs="宋体"/>
          <w:color w:val="auto"/>
          <w:sz w:val="24"/>
          <w:szCs w:val="24"/>
          <w:highlight w:val="none"/>
          <w:lang w:eastAsia="zh-CN"/>
        </w:rPr>
      </w:pPr>
      <w:r>
        <w:rPr>
          <w:rStyle w:val="6"/>
          <w:rFonts w:hint="eastAsia" w:ascii="宋体" w:hAnsi="宋体" w:eastAsia="宋体" w:cs="宋体"/>
          <w:color w:val="auto"/>
          <w:sz w:val="24"/>
          <w:szCs w:val="24"/>
          <w:highlight w:val="none"/>
        </w:rPr>
        <w:t>采用实地踏查等方式，对变化图斑的土地利用类型、变化原因和边界进行调查核实。同时</w:t>
      </w:r>
      <w:r>
        <w:rPr>
          <w:rStyle w:val="6"/>
          <w:rFonts w:hint="eastAsia" w:ascii="宋体" w:hAnsi="宋体" w:eastAsia="宋体" w:cs="宋体"/>
          <w:color w:val="auto"/>
          <w:sz w:val="24"/>
          <w:szCs w:val="24"/>
          <w:highlight w:val="none"/>
          <w:lang w:eastAsia="zh-CN"/>
        </w:rPr>
        <w:t>核实</w:t>
      </w:r>
      <w:r>
        <w:rPr>
          <w:rStyle w:val="6"/>
          <w:rFonts w:hint="eastAsia" w:ascii="宋体" w:hAnsi="宋体" w:eastAsia="宋体" w:cs="宋体"/>
          <w:color w:val="auto"/>
          <w:sz w:val="24"/>
          <w:szCs w:val="24"/>
          <w:highlight w:val="none"/>
        </w:rPr>
        <w:t>重要属性</w:t>
      </w:r>
      <w:r>
        <w:rPr>
          <w:rStyle w:val="6"/>
          <w:rFonts w:hint="eastAsia" w:ascii="宋体" w:hAnsi="宋体" w:eastAsia="宋体" w:cs="宋体"/>
          <w:color w:val="auto"/>
          <w:sz w:val="24"/>
          <w:szCs w:val="24"/>
          <w:highlight w:val="none"/>
          <w:lang w:eastAsia="zh-CN"/>
        </w:rPr>
        <w:t>因子。</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4、内业整理，编写报告</w:t>
      </w:r>
    </w:p>
    <w:p>
      <w:pPr>
        <w:shd w:val="clear"/>
        <w:spacing w:line="360" w:lineRule="auto"/>
        <w:ind w:firstLine="600"/>
        <w:rPr>
          <w:rStyle w:val="6"/>
          <w:rFonts w:hint="eastAsia" w:ascii="宋体" w:hAnsi="宋体" w:eastAsia="宋体" w:cs="宋体"/>
          <w:b/>
          <w:bCs/>
          <w:color w:val="auto"/>
          <w:sz w:val="24"/>
          <w:szCs w:val="24"/>
          <w:highlight w:val="none"/>
        </w:rPr>
      </w:pPr>
      <w:r>
        <w:rPr>
          <w:rStyle w:val="6"/>
          <w:rFonts w:hint="eastAsia" w:ascii="宋体" w:hAnsi="宋体" w:eastAsia="宋体" w:cs="宋体"/>
          <w:color w:val="auto"/>
          <w:sz w:val="24"/>
          <w:szCs w:val="24"/>
          <w:highlight w:val="none"/>
        </w:rPr>
        <w:t>以修完完善后的2018年和2020年样地区划数据，建立土地变化矩阵，推算广东省2018年和2020年碳汇总量及变化，编写</w:t>
      </w:r>
      <w:r>
        <w:rPr>
          <w:rStyle w:val="6"/>
          <w:rFonts w:hint="eastAsia" w:ascii="宋体" w:hAnsi="宋体" w:eastAsia="宋体" w:cs="宋体"/>
          <w:color w:val="auto"/>
          <w:sz w:val="24"/>
          <w:szCs w:val="24"/>
          <w:highlight w:val="none"/>
          <w:lang w:eastAsia="zh-CN"/>
        </w:rPr>
        <w:t>成果</w:t>
      </w:r>
      <w:r>
        <w:rPr>
          <w:rStyle w:val="6"/>
          <w:rFonts w:hint="eastAsia" w:ascii="宋体" w:hAnsi="宋体" w:eastAsia="宋体" w:cs="宋体"/>
          <w:color w:val="auto"/>
          <w:sz w:val="24"/>
          <w:szCs w:val="24"/>
          <w:highlight w:val="none"/>
        </w:rPr>
        <w:t>报告。</w:t>
      </w:r>
    </w:p>
    <w:p>
      <w:pPr>
        <w:shd w:val="clear"/>
        <w:spacing w:line="360" w:lineRule="auto"/>
        <w:ind w:firstLine="0" w:firstLineChars="0"/>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rPr>
        <w:t>六.</w:t>
      </w:r>
      <w:r>
        <w:rPr>
          <w:rFonts w:hint="eastAsia" w:ascii="宋体" w:hAnsi="宋体" w:eastAsia="宋体" w:cs="宋体"/>
          <w:b/>
          <w:bCs w:val="0"/>
          <w:color w:val="auto"/>
          <w:sz w:val="24"/>
          <w:szCs w:val="24"/>
          <w:highlight w:val="none"/>
          <w:lang w:val="zh-CN" w:eastAsia="zh-CN"/>
        </w:rPr>
        <w:t xml:space="preserve"> </w:t>
      </w:r>
      <w:r>
        <w:rPr>
          <w:rFonts w:hint="eastAsia" w:ascii="宋体" w:hAnsi="宋体" w:eastAsia="宋体" w:cs="宋体"/>
          <w:b/>
          <w:bCs w:val="0"/>
          <w:color w:val="auto"/>
          <w:sz w:val="24"/>
          <w:szCs w:val="24"/>
          <w:highlight w:val="none"/>
          <w:lang w:val="zh-CN"/>
        </w:rPr>
        <w:t>项目</w:t>
      </w:r>
      <w:r>
        <w:rPr>
          <w:rFonts w:hint="eastAsia" w:ascii="宋体" w:hAnsi="宋体" w:eastAsia="宋体" w:cs="宋体"/>
          <w:b/>
          <w:bCs w:val="0"/>
          <w:color w:val="auto"/>
          <w:sz w:val="24"/>
          <w:szCs w:val="24"/>
          <w:highlight w:val="none"/>
          <w:lang w:val="zh-CN" w:eastAsia="zh-CN"/>
        </w:rPr>
        <w:t>成果</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1、数据库。包含空间和属性信息的2018年林业与土地利用样地数据库、2020年林业与土地利用样地数据库、1988年-2018年林业与土地利用变化样地数据库、2018年-2020年林业与土地利用变化样地数据库；</w:t>
      </w:r>
    </w:p>
    <w:p>
      <w:pPr>
        <w:shd w:val="clear"/>
        <w:spacing w:line="360" w:lineRule="auto"/>
        <w:ind w:firstLine="600"/>
        <w:rPr>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2、成果报告文本。广东省</w:t>
      </w:r>
      <w:r>
        <w:rPr>
          <w:rStyle w:val="6"/>
          <w:rFonts w:hint="eastAsia" w:ascii="宋体" w:hAnsi="宋体" w:eastAsia="宋体" w:cs="宋体"/>
          <w:color w:val="auto"/>
          <w:sz w:val="24"/>
          <w:szCs w:val="24"/>
          <w:highlight w:val="none"/>
          <w:lang w:val="en-US" w:eastAsia="zh-CN"/>
        </w:rPr>
        <w:t>2016</w:t>
      </w:r>
      <w:r>
        <w:rPr>
          <w:rStyle w:val="6"/>
          <w:rFonts w:hint="eastAsia" w:ascii="宋体" w:hAnsi="宋体" w:eastAsia="宋体" w:cs="宋体"/>
          <w:color w:val="auto"/>
          <w:sz w:val="24"/>
          <w:szCs w:val="24"/>
          <w:highlight w:val="none"/>
        </w:rPr>
        <w:t>年-2020年LULUCF碳汇计量监测报告，内容应包含广东省</w:t>
      </w:r>
      <w:r>
        <w:rPr>
          <w:rStyle w:val="6"/>
          <w:rFonts w:hint="eastAsia" w:ascii="宋体" w:hAnsi="宋体" w:eastAsia="宋体" w:cs="宋体"/>
          <w:color w:val="auto"/>
          <w:sz w:val="24"/>
          <w:szCs w:val="24"/>
          <w:highlight w:val="none"/>
          <w:lang w:val="en-US" w:eastAsia="zh-CN"/>
        </w:rPr>
        <w:t>2016</w:t>
      </w:r>
      <w:r>
        <w:rPr>
          <w:rStyle w:val="6"/>
          <w:rFonts w:hint="eastAsia" w:ascii="宋体" w:hAnsi="宋体" w:eastAsia="宋体" w:cs="宋体"/>
          <w:color w:val="auto"/>
          <w:sz w:val="24"/>
          <w:szCs w:val="24"/>
          <w:highlight w:val="none"/>
        </w:rPr>
        <w:t>年-2018年、2018年</w:t>
      </w:r>
      <w:bookmarkStart w:id="17" w:name="_GoBack"/>
      <w:bookmarkEnd w:id="17"/>
      <w:r>
        <w:rPr>
          <w:rStyle w:val="6"/>
          <w:rFonts w:hint="eastAsia" w:ascii="宋体" w:hAnsi="宋体" w:eastAsia="宋体" w:cs="宋体"/>
          <w:color w:val="auto"/>
          <w:sz w:val="24"/>
          <w:szCs w:val="24"/>
          <w:highlight w:val="none"/>
        </w:rPr>
        <w:t>-2020年碳汇变化情况。</w:t>
      </w:r>
    </w:p>
    <w:p>
      <w:pPr>
        <w:shd w:val="clear"/>
        <w:spacing w:line="360" w:lineRule="auto"/>
        <w:ind w:firstLine="0" w:firstLineChars="0"/>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rPr>
        <w:t>七.项目</w:t>
      </w:r>
      <w:r>
        <w:rPr>
          <w:rFonts w:hint="eastAsia" w:ascii="宋体" w:hAnsi="宋体" w:eastAsia="宋体" w:cs="宋体"/>
          <w:b/>
          <w:bCs w:val="0"/>
          <w:color w:val="auto"/>
          <w:sz w:val="24"/>
          <w:szCs w:val="24"/>
          <w:highlight w:val="none"/>
          <w:lang w:val="zh-CN" w:eastAsia="zh-CN"/>
        </w:rPr>
        <w:t>完成时间</w:t>
      </w:r>
    </w:p>
    <w:p>
      <w:pPr>
        <w:shd w:val="clear"/>
        <w:spacing w:line="360" w:lineRule="auto"/>
        <w:ind w:firstLine="600"/>
        <w:rPr>
          <w:rStyle w:val="6"/>
          <w:rFonts w:hint="eastAsia" w:ascii="宋体" w:hAnsi="宋体" w:eastAsia="宋体" w:cs="宋体"/>
          <w:color w:val="auto"/>
          <w:sz w:val="24"/>
          <w:szCs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合同生效之日起</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0个</w:t>
      </w:r>
      <w:r>
        <w:rPr>
          <w:rFonts w:hint="eastAsia" w:ascii="宋体" w:hAnsi="宋体" w:cs="宋体"/>
          <w:color w:val="auto"/>
          <w:sz w:val="24"/>
          <w:highlight w:val="none"/>
          <w:lang w:eastAsia="zh-CN"/>
        </w:rPr>
        <w:t>自然</w:t>
      </w:r>
      <w:r>
        <w:rPr>
          <w:rFonts w:hint="eastAsia" w:ascii="宋体" w:hAnsi="宋体" w:cs="宋体"/>
          <w:color w:val="auto"/>
          <w:sz w:val="24"/>
          <w:highlight w:val="none"/>
        </w:rPr>
        <w:t>日内完成内外业，并提交最终成果</w:t>
      </w:r>
      <w:r>
        <w:rPr>
          <w:rStyle w:val="6"/>
          <w:rFonts w:hint="eastAsia" w:ascii="宋体" w:hAnsi="宋体" w:eastAsia="宋体" w:cs="宋体"/>
          <w:color w:val="auto"/>
          <w:sz w:val="24"/>
          <w:szCs w:val="24"/>
          <w:highlight w:val="none"/>
        </w:rPr>
        <w:t>。</w:t>
      </w:r>
    </w:p>
    <w:p>
      <w:pPr>
        <w:shd w:val="clear"/>
        <w:spacing w:line="360" w:lineRule="auto"/>
        <w:ind w:firstLine="0" w:firstLineChars="0"/>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rPr>
        <w:t>八.项目</w:t>
      </w:r>
      <w:r>
        <w:rPr>
          <w:rFonts w:hint="eastAsia" w:ascii="宋体" w:hAnsi="宋体" w:eastAsia="宋体" w:cs="宋体"/>
          <w:b/>
          <w:bCs w:val="0"/>
          <w:color w:val="auto"/>
          <w:sz w:val="24"/>
          <w:szCs w:val="24"/>
          <w:highlight w:val="none"/>
          <w:lang w:val="zh-CN" w:eastAsia="zh-CN"/>
        </w:rPr>
        <w:t>人员要求</w:t>
      </w:r>
    </w:p>
    <w:p>
      <w:pPr>
        <w:widowControl/>
        <w:shd w:val="clea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目实施人员要求：为使项目按质、按量、按时及有序实施，本项目必须有一个完善且固定的项目实施小组及项目负责人，投标人须在投标文件中详细列明参与本项目的人员名单并附上其详细资料，如学历证书、职称等资格证书复印件。</w:t>
      </w:r>
    </w:p>
    <w:p>
      <w:pPr>
        <w:shd w:val="clear"/>
        <w:spacing w:line="360" w:lineRule="auto"/>
        <w:ind w:firstLine="600"/>
        <w:rPr>
          <w:rStyle w:val="6"/>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在项目实施期间，未经采购人同意，中标人不得调整在投标文件中所承诺的项目实施人员，否则采购人有权终止合同，并要求中标人赔偿由此给采购人造成的全部损失。</w:t>
      </w:r>
    </w:p>
    <w:p>
      <w:pPr>
        <w:shd w:val="clear"/>
        <w:spacing w:line="360" w:lineRule="auto"/>
        <w:ind w:firstLine="0" w:firstLineChars="0"/>
        <w:outlineLvl w:val="9"/>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九.项目其它要求</w:t>
      </w:r>
    </w:p>
    <w:p>
      <w:pPr>
        <w:shd w:val="clear"/>
        <w:spacing w:line="360" w:lineRule="auto"/>
        <w:ind w:firstLine="600"/>
        <w:rPr>
          <w:rStyle w:val="6"/>
          <w:rFonts w:hint="eastAsia" w:ascii="宋体" w:hAnsi="宋体" w:eastAsia="宋体" w:cs="宋体"/>
          <w:color w:val="auto"/>
          <w:sz w:val="24"/>
          <w:szCs w:val="24"/>
          <w:highlight w:val="none"/>
        </w:rPr>
      </w:pPr>
      <w:r>
        <w:rPr>
          <w:rStyle w:val="6"/>
          <w:rFonts w:hint="eastAsia" w:ascii="宋体" w:hAnsi="宋体" w:eastAsia="宋体" w:cs="宋体"/>
          <w:color w:val="auto"/>
          <w:sz w:val="24"/>
          <w:szCs w:val="24"/>
          <w:highlight w:val="none"/>
        </w:rPr>
        <w:t>本用户需求书未尽事宜以合同为准。</w:t>
      </w:r>
    </w:p>
    <w:p>
      <w:pPr>
        <w:shd w:val="clear"/>
        <w:spacing w:line="360" w:lineRule="auto"/>
        <w:ind w:firstLine="0"/>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十.付款方式</w:t>
      </w:r>
    </w:p>
    <w:p>
      <w:pPr>
        <w:widowControl/>
        <w:shd w:val="clear"/>
        <w:spacing w:line="56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1.签订合同后10天内支付总金额的</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w:t>
      </w:r>
    </w:p>
    <w:p>
      <w:pPr>
        <w:widowControl/>
        <w:shd w:val="clear"/>
        <w:spacing w:line="56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2.乙方提交成果并经甲方验收合格后支付总金额的</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w:t>
      </w:r>
    </w:p>
    <w:p>
      <w:pPr>
        <w:pStyle w:val="3"/>
        <w:shd w:val="clear"/>
        <w:spacing w:line="360" w:lineRule="auto"/>
        <w:rPr>
          <w:rFonts w:hint="eastAsia" w:hAnsi="宋体" w:cs="宋体"/>
          <w:color w:val="auto"/>
          <w:highlight w:val="none"/>
          <w:lang w:eastAsia="zh-CN"/>
        </w:rPr>
      </w:pPr>
    </w:p>
    <w:p>
      <w:pPr>
        <w:shd w:val="clear"/>
        <w:rPr>
          <w:rFonts w:ascii="宋体" w:hAnsi="宋体" w:cs="宋体"/>
          <w:color w:val="auto"/>
          <w:highlight w:val="none"/>
        </w:rPr>
      </w:pPr>
    </w:p>
    <w:bookmarkEnd w:id="0"/>
    <w:bookmarkEnd w:id="1"/>
    <w:bookmarkEnd w:id="2"/>
    <w:bookmarkEnd w:id="3"/>
    <w:bookmarkEnd w:id="4"/>
    <w:bookmarkEnd w:id="5"/>
    <w:bookmarkEnd w:id="6"/>
    <w:bookmarkEnd w:id="7"/>
    <w:bookmarkEnd w:id="8"/>
    <w:bookmarkEnd w:id="9"/>
    <w:bookmarkEnd w:id="10"/>
    <w:bookmarkEnd w:id="11"/>
    <w:p>
      <w:pPr>
        <w:shd w:val="clea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45A3D"/>
    <w:multiLevelType w:val="singleLevel"/>
    <w:tmpl w:val="05845A3D"/>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 w:type="paragraph" w:styleId="3">
    <w:name w:val="Plain Text"/>
    <w:basedOn w:val="1"/>
    <w:next w:val="1"/>
    <w:qFormat/>
    <w:uiPriority w:val="0"/>
    <w:rPr>
      <w:rFonts w:ascii="宋体" w:hAnsi="Courier New"/>
      <w:szCs w:val="20"/>
    </w:rPr>
  </w:style>
  <w:style w:type="character" w:customStyle="1" w:styleId="6">
    <w:name w:val="fontstyle01"/>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幸福相牵</cp:lastModifiedBy>
  <dcterms:modified xsi:type="dcterms:W3CDTF">2021-08-05T06:18:05Z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0E3BCCCCB9984F5EA4D74F1C6CED4595</vt:lpwstr>
  </property>
</Properties>
</file>